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color w:val="auto"/>
                <w:sz w:val="21"/>
                <w:szCs w:val="21"/>
              </w:rPr>
            </w:pPr>
            <w:r>
              <w:rPr>
                <w:rFonts w:ascii="Times New Roman" w:hAnsi="Times New Roman" w:eastAsia="黑体"/>
                <w:color w:val="auto"/>
                <w:sz w:val="21"/>
                <w:szCs w:val="21"/>
              </w:rPr>
              <w:t>ICS</w:t>
            </w:r>
            <w:r>
              <w:rPr>
                <w:rFonts w:ascii="黑体" w:hAnsi="黑体" w:eastAsia="黑体"/>
                <w:color w:val="auto"/>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color w:val="auto"/>
                <w:sz w:val="21"/>
                <w:szCs w:val="21"/>
              </w:rPr>
            </w:pPr>
            <w:bookmarkStart w:id="0" w:name="ICS"/>
            <w:r>
              <w:rPr>
                <w:rFonts w:ascii="黑体" w:hAnsi="黑体" w:eastAsia="黑体"/>
                <w:color w:val="auto"/>
                <w:sz w:val="21"/>
                <w:szCs w:val="21"/>
              </w:rPr>
              <w:fldChar w:fldCharType="begin">
                <w:ffData>
                  <w:name w:val="ICS"/>
                  <w:enabled/>
                  <w:calcOnExit w:val="0"/>
                  <w:textInput>
                    <w:default w:val="xxxxx"/>
                  </w:textInput>
                </w:ffData>
              </w:fldChar>
            </w:r>
            <w:r>
              <w:rPr>
                <w:rFonts w:ascii="黑体" w:hAnsi="黑体" w:eastAsia="黑体"/>
                <w:color w:val="auto"/>
                <w:sz w:val="21"/>
                <w:szCs w:val="21"/>
              </w:rPr>
              <w:instrText xml:space="preserve"> FORMTEXT </w:instrText>
            </w:r>
            <w:r>
              <w:rPr>
                <w:rFonts w:ascii="黑体" w:hAnsi="黑体" w:eastAsia="黑体"/>
                <w:color w:val="auto"/>
                <w:sz w:val="21"/>
                <w:szCs w:val="21"/>
              </w:rPr>
              <w:fldChar w:fldCharType="separate"/>
            </w:r>
            <w:r>
              <w:rPr>
                <w:rFonts w:ascii="黑体" w:hAnsi="黑体" w:eastAsia="黑体"/>
                <w:color w:val="auto"/>
                <w:sz w:val="21"/>
                <w:szCs w:val="21"/>
              </w:rPr>
              <w:t>xxxxx</w:t>
            </w:r>
            <w:r>
              <w:rPr>
                <w:rFonts w:ascii="黑体" w:hAnsi="黑体" w:eastAsia="黑体"/>
                <w:color w:val="auto"/>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color w:val="auto"/>
                <w:sz w:val="21"/>
                <w:szCs w:val="21"/>
              </w:rPr>
            </w:pPr>
            <w:r>
              <w:rPr>
                <w:rFonts w:ascii="Times New Roman" w:hAnsi="Times New Roman" w:eastAsia="黑体"/>
                <w:color w:val="auto"/>
                <w:sz w:val="21"/>
                <w:szCs w:val="21"/>
              </w:rPr>
              <w:t xml:space="preserve">CCS </w:t>
            </w:r>
            <w:r>
              <w:rPr>
                <w:rFonts w:ascii="黑体" w:hAnsi="黑体" w:eastAsia="黑体"/>
                <w:color w:val="auto"/>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color w:val="auto"/>
                <w:sz w:val="21"/>
                <w:szCs w:val="21"/>
              </w:rPr>
            </w:pPr>
            <w:bookmarkStart w:id="1" w:name="CSDN"/>
            <w:r>
              <w:rPr>
                <w:rFonts w:ascii="黑体" w:hAnsi="黑体" w:eastAsia="黑体"/>
                <w:color w:val="auto"/>
                <w:sz w:val="21"/>
                <w:szCs w:val="21"/>
              </w:rPr>
              <w:fldChar w:fldCharType="begin">
                <w:ffData>
                  <w:name w:val="CSDN"/>
                  <w:enabled/>
                  <w:calcOnExit w:val="0"/>
                  <w:textInput>
                    <w:default w:val="x xx"/>
                  </w:textInput>
                </w:ffData>
              </w:fldChar>
            </w:r>
            <w:r>
              <w:rPr>
                <w:rFonts w:ascii="黑体" w:hAnsi="黑体" w:eastAsia="黑体"/>
                <w:color w:val="auto"/>
                <w:sz w:val="21"/>
                <w:szCs w:val="21"/>
              </w:rPr>
              <w:instrText xml:space="preserve"> FORMTEXT </w:instrText>
            </w:r>
            <w:r>
              <w:rPr>
                <w:rFonts w:ascii="黑体" w:hAnsi="黑体" w:eastAsia="黑体"/>
                <w:color w:val="auto"/>
                <w:sz w:val="21"/>
                <w:szCs w:val="21"/>
              </w:rPr>
              <w:fldChar w:fldCharType="separate"/>
            </w:r>
            <w:r>
              <w:rPr>
                <w:rFonts w:ascii="黑体" w:hAnsi="黑体" w:eastAsia="黑体"/>
                <w:color w:val="auto"/>
                <w:sz w:val="21"/>
                <w:szCs w:val="21"/>
              </w:rPr>
              <w:t>x xx</w:t>
            </w:r>
            <w:r>
              <w:rPr>
                <w:rFonts w:ascii="黑体" w:hAnsi="黑体" w:eastAsia="黑体"/>
                <w:color w:val="auto"/>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color w:val="auto"/>
                <w:sz w:val="28"/>
                <w:szCs w:val="28"/>
              </w:rPr>
            </w:pPr>
            <w:bookmarkStart w:id="2" w:name="_Hlk26473981"/>
            <w:r>
              <w:rPr>
                <w:color w:val="auto"/>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color w:val="auto"/>
                <w:sz w:val="21"/>
                <w:szCs w:val="21"/>
              </w:rPr>
              <w:t xml:space="preserve"> </w:t>
            </w:r>
            <w:r>
              <w:rPr>
                <w:color w:val="auto"/>
              </w:rPr>
              <w:fldChar w:fldCharType="begin">
                <w:ffData>
                  <w:name w:val="c1"/>
                  <w:enabled/>
                  <w:calcOnExit w:val="0"/>
                  <w:textInput>
                    <w:maxLength w:val="8"/>
                  </w:textInput>
                </w:ffData>
              </w:fldChar>
            </w:r>
            <w:bookmarkStart w:id="3" w:name="c1"/>
            <w:r>
              <w:rPr>
                <w:color w:val="auto"/>
              </w:rPr>
              <w:instrText xml:space="preserve"> FORMTEXT </w:instrText>
            </w:r>
            <w:r>
              <w:rPr>
                <w:color w:val="auto"/>
              </w:rPr>
              <w:fldChar w:fldCharType="separate"/>
            </w:r>
            <w:r>
              <w:rPr>
                <w:rFonts w:hint="eastAsia"/>
                <w:color w:val="auto"/>
              </w:rPr>
              <w:t>4201</w:t>
            </w:r>
            <w:r>
              <w:rPr>
                <w:color w:val="auto"/>
              </w:rPr>
              <w:fldChar w:fldCharType="end"/>
            </w:r>
            <w:bookmarkEnd w:id="3"/>
          </w:p>
        </w:tc>
      </w:tr>
    </w:tbl>
    <w:p>
      <w:pPr>
        <w:pStyle w:val="50"/>
        <w:framePr w:w="9639" w:h="624" w:hRule="exact" w:hSpace="181" w:vSpace="181" w:wrap="around" w:hAnchor="page" w:x="1305" w:y="2269"/>
        <w:rPr>
          <w:rFonts w:ascii="黑体" w:hAnsi="黑体" w:eastAsia="黑体"/>
          <w:b w:val="0"/>
          <w:bCs w:val="0"/>
          <w:color w:val="auto"/>
          <w:w w:val="100"/>
          <w:sz w:val="48"/>
          <w:szCs w:val="48"/>
        </w:rPr>
      </w:pPr>
      <w:r>
        <w:rPr>
          <w:rFonts w:ascii="黑体" w:eastAsia="黑体"/>
          <w:b w:val="0"/>
          <w:color w:val="auto"/>
          <w:w w:val="100"/>
          <w:sz w:val="48"/>
        </w:rPr>
        <w:fldChar w:fldCharType="begin">
          <w:ffData>
            <w:name w:val="c2"/>
            <w:enabled/>
            <w:calcOnExit w:val="0"/>
            <w:textInput/>
          </w:ffData>
        </w:fldChar>
      </w:r>
      <w:bookmarkStart w:id="4" w:name="c2"/>
      <w:r>
        <w:rPr>
          <w:rFonts w:ascii="黑体" w:eastAsia="黑体"/>
          <w:b w:val="0"/>
          <w:color w:val="auto"/>
          <w:w w:val="100"/>
          <w:sz w:val="48"/>
        </w:rPr>
        <w:instrText xml:space="preserve"> FORMTEXT </w:instrText>
      </w:r>
      <w:r>
        <w:rPr>
          <w:rFonts w:ascii="黑体" w:eastAsia="黑体"/>
          <w:b w:val="0"/>
          <w:color w:val="auto"/>
          <w:w w:val="100"/>
          <w:sz w:val="48"/>
        </w:rPr>
        <w:fldChar w:fldCharType="separate"/>
      </w:r>
      <w:r>
        <w:rPr>
          <w:rFonts w:hint="eastAsia" w:ascii="黑体" w:eastAsia="黑体"/>
          <w:b w:val="0"/>
          <w:color w:val="auto"/>
          <w:w w:val="100"/>
          <w:sz w:val="48"/>
        </w:rPr>
        <w:t>武汉市</w:t>
      </w:r>
      <w:r>
        <w:rPr>
          <w:rFonts w:ascii="黑体" w:eastAsia="黑体"/>
          <w:b w:val="0"/>
          <w:color w:val="auto"/>
          <w:w w:val="100"/>
          <w:sz w:val="48"/>
        </w:rPr>
        <w:fldChar w:fldCharType="end"/>
      </w:r>
      <w:bookmarkEnd w:id="4"/>
      <w:r>
        <w:rPr>
          <w:rFonts w:hint="eastAsia" w:ascii="黑体" w:hAnsi="黑体" w:eastAsia="黑体"/>
          <w:b w:val="0"/>
          <w:bCs w:val="0"/>
          <w:color w:val="auto"/>
          <w:w w:val="100"/>
          <w:sz w:val="48"/>
          <w:szCs w:val="48"/>
        </w:rPr>
        <w:t>地方标准</w:t>
      </w:r>
    </w:p>
    <w:bookmarkEnd w:id="2"/>
    <w:p>
      <w:pPr>
        <w:pStyle w:val="195"/>
        <w:rPr>
          <w:rFonts w:hint="eastAsia" w:eastAsia="黑体"/>
          <w:color w:val="auto"/>
          <w:lang w:val="en-US" w:eastAsia="zh-CN"/>
        </w:rPr>
      </w:pPr>
      <w:r>
        <w:rPr>
          <w:color w:val="auto"/>
          <w:lang w:val="fr-FR"/>
        </w:rPr>
        <w:t>DB</w:t>
      </w:r>
      <w:r>
        <w:rPr>
          <w:color w:val="auto"/>
          <w:sz w:val="15"/>
          <w:szCs w:val="15"/>
          <w:lang w:val="fr-FR"/>
        </w:rPr>
        <w:t xml:space="preserve"> </w:t>
      </w:r>
      <w:r>
        <w:rPr>
          <w:color w:val="auto"/>
        </w:rPr>
        <w:fldChar w:fldCharType="begin">
          <w:ffData>
            <w:name w:val="文字1"/>
            <w:enabled/>
            <w:calcOnExit w:val="0"/>
            <w:textInput>
              <w:default w:val="XX/T"/>
            </w:textInput>
          </w:ffData>
        </w:fldChar>
      </w:r>
      <w:bookmarkStart w:id="5" w:name="文字1"/>
      <w:r>
        <w:rPr>
          <w:color w:val="auto"/>
          <w:lang w:val="fr-FR"/>
        </w:rPr>
        <w:instrText xml:space="preserve"> FORMTEXT </w:instrText>
      </w:r>
      <w:r>
        <w:rPr>
          <w:color w:val="auto"/>
        </w:rPr>
        <w:fldChar w:fldCharType="separate"/>
      </w:r>
      <w:r>
        <w:rPr>
          <w:rFonts w:hint="eastAsia"/>
          <w:color w:val="auto"/>
        </w:rPr>
        <w:t>4201</w:t>
      </w:r>
      <w:r>
        <w:rPr>
          <w:color w:val="auto"/>
          <w:lang w:val="fr-FR"/>
        </w:rPr>
        <w:t>/T</w:t>
      </w:r>
      <w:r>
        <w:rPr>
          <w:color w:val="auto"/>
        </w:rPr>
        <w:fldChar w:fldCharType="end"/>
      </w:r>
      <w:bookmarkEnd w:id="5"/>
      <w:r>
        <w:rPr>
          <w:color w:val="auto"/>
          <w:lang w:val="fr-FR"/>
        </w:rPr>
        <w:t xml:space="preserve"> </w:t>
      </w:r>
      <w:r>
        <w:rPr>
          <w:rFonts w:hint="eastAsia"/>
          <w:color w:val="auto"/>
        </w:rPr>
        <w:t>XXX</w:t>
      </w:r>
      <w:r>
        <w:rPr>
          <w:rFonts w:hAnsi="黑体"/>
          <w:color w:val="auto"/>
          <w:lang w:val="fr-FR"/>
        </w:rPr>
        <w:t>—</w:t>
      </w:r>
      <w:r>
        <w:rPr>
          <w:rFonts w:hint="eastAsia"/>
          <w:color w:val="auto"/>
        </w:rPr>
        <w:t>202</w:t>
      </w:r>
      <w:r>
        <w:rPr>
          <w:rFonts w:hint="eastAsia"/>
          <w:color w:val="auto"/>
          <w:lang w:val="en-US" w:eastAsia="zh-CN"/>
        </w:rPr>
        <w:t>4</w:t>
      </w:r>
    </w:p>
    <w:p>
      <w:pPr>
        <w:pStyle w:val="196"/>
        <w:rPr>
          <w:rFonts w:hAnsi="黑体"/>
          <w:color w:val="auto"/>
        </w:rPr>
      </w:pPr>
      <w:r>
        <w:rPr>
          <w:rFonts w:hAnsi="黑体"/>
          <w:color w:val="auto"/>
        </w:rPr>
        <w:fldChar w:fldCharType="begin">
          <w:ffData>
            <w:name w:val="OSTD_CODE"/>
            <w:enabled/>
            <w:calcOnExit w:val="0"/>
            <w:textInput/>
          </w:ffData>
        </w:fldChar>
      </w:r>
      <w:bookmarkStart w:id="6" w:name="OSTD_CODE"/>
      <w:r>
        <w:rPr>
          <w:rFonts w:hAnsi="黑体"/>
          <w:color w:val="auto"/>
        </w:rPr>
        <w:instrText xml:space="preserve"> FORMTEXT </w:instrText>
      </w:r>
      <w:r>
        <w:rPr>
          <w:rFonts w:hAnsi="黑体"/>
          <w:color w:val="auto"/>
        </w:rPr>
        <w:fldChar w:fldCharType="separate"/>
      </w:r>
      <w:r>
        <w:rPr>
          <w:rFonts w:hAnsi="黑体"/>
          <w:color w:val="auto"/>
        </w:rPr>
        <w:t>     </w:t>
      </w:r>
      <w:r>
        <w:rPr>
          <w:rFonts w:hAnsi="黑体"/>
          <w:color w:val="auto"/>
        </w:rPr>
        <w:fldChar w:fldCharType="end"/>
      </w:r>
      <w:bookmarkEnd w:id="6"/>
    </w:p>
    <w:p>
      <w:pPr>
        <w:spacing w:line="240" w:lineRule="auto"/>
        <w:rPr>
          <w:rFonts w:ascii="黑体" w:hAnsi="黑体" w:eastAsia="黑体"/>
          <w:color w:val="auto"/>
          <w:kern w:val="0"/>
          <w:sz w:val="10"/>
          <w:szCs w:val="10"/>
        </w:rPr>
      </w:pPr>
      <w:r>
        <w:rPr>
          <w:rFonts w:ascii="黑体" w:hAnsi="黑体" w:eastAsia="黑体"/>
          <w:color w:val="auto"/>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ng0mW2AAAAAwBAAAPAAAAAAAAAAEAIAAAACIAAABkcnMv&#10;ZG93bnJldi54bWxQSwECFAAUAAAACACHTuJAeCbvfcoBAABeAwAADgAAAAAAAAABACAAAAAnAQAA&#10;ZHJzL2Uyb0RvYy54bWxQSwUGAAAAAAYABgBZAQAAYw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color w:val="auto"/>
          <w:w w:val="100"/>
        </w:rPr>
      </w:pPr>
    </w:p>
    <w:p>
      <w:pPr>
        <w:pStyle w:val="197"/>
        <w:framePr w:h="6974" w:hRule="exact" w:wrap="around" w:x="1419" w:anchorLock="1"/>
        <w:rPr>
          <w:color w:val="auto"/>
        </w:rPr>
      </w:pPr>
      <w:r>
        <w:rPr>
          <w:rFonts w:hint="eastAsia"/>
          <w:color w:val="auto"/>
        </w:rPr>
        <w:t>网上仲裁服务规范</w:t>
      </w:r>
    </w:p>
    <w:p>
      <w:pPr>
        <w:framePr w:w="9639" w:h="6974" w:hRule="exact" w:wrap="around" w:vAnchor="page" w:hAnchor="page" w:x="1419" w:y="6408" w:anchorLock="1"/>
        <w:ind w:left="-1418"/>
        <w:rPr>
          <w:color w:val="auto"/>
        </w:rPr>
      </w:pPr>
    </w:p>
    <w:p>
      <w:pPr>
        <w:pStyle w:val="125"/>
        <w:framePr w:w="9639" w:h="6974" w:hRule="exact" w:wrap="around" w:vAnchor="page" w:hAnchor="page" w:x="1419" w:y="6408" w:anchorLock="1"/>
        <w:textAlignment w:val="bottom"/>
        <w:rPr>
          <w:rFonts w:eastAsia="黑体"/>
          <w:color w:val="auto"/>
          <w:szCs w:val="28"/>
        </w:rPr>
      </w:pPr>
      <w:bookmarkStart w:id="7" w:name="ESTD_NAME"/>
      <w:r>
        <w:rPr>
          <w:rFonts w:ascii="Times New Roman" w:hAnsi="Times New Roman" w:eastAsia="黑体" w:cs="Times New Roman"/>
          <w:color w:val="auto"/>
          <w:sz w:val="28"/>
          <w:szCs w:val="28"/>
          <w:lang w:val="en-US" w:eastAsia="zh-CN" w:bidi="ar-SA"/>
        </w:rPr>
        <w:fldChar w:fldCharType="begin">
          <w:ffData>
            <w:name w:val="ESTD_NAME"/>
            <w:enabled/>
            <w:calcOnExit w:val="0"/>
            <w:textInput>
              <w:default w:val="Rules of Online Arbitration Service "/>
            </w:textInput>
          </w:ffData>
        </w:fldChar>
      </w:r>
      <w:r>
        <w:rPr>
          <w:rFonts w:ascii="Times New Roman" w:hAnsi="Times New Roman" w:eastAsia="黑体" w:cs="Times New Roman"/>
          <w:color w:val="auto"/>
          <w:sz w:val="28"/>
          <w:szCs w:val="28"/>
          <w:lang w:val="en-US" w:eastAsia="zh-CN" w:bidi="ar-SA"/>
        </w:rPr>
        <w:instrText xml:space="preserve">FORMTEXT</w:instrText>
      </w:r>
      <w:r>
        <w:rPr>
          <w:rFonts w:ascii="Times New Roman" w:hAnsi="Times New Roman" w:eastAsia="黑体" w:cs="Times New Roman"/>
          <w:color w:val="auto"/>
          <w:sz w:val="28"/>
          <w:szCs w:val="28"/>
          <w:lang w:val="en-US" w:eastAsia="zh-CN" w:bidi="ar-SA"/>
        </w:rPr>
        <w:fldChar w:fldCharType="separate"/>
      </w:r>
      <w:r>
        <w:rPr>
          <w:rFonts w:ascii="Times New Roman" w:hAnsi="Times New Roman" w:eastAsia="黑体" w:cs="Times New Roman"/>
          <w:color w:val="auto"/>
          <w:sz w:val="28"/>
          <w:szCs w:val="28"/>
          <w:lang w:val="en-US" w:eastAsia="zh-CN" w:bidi="ar-SA"/>
        </w:rPr>
        <w:t xml:space="preserve">Rules of Online Arbitration Service </w:t>
      </w:r>
      <w:r>
        <w:rPr>
          <w:rFonts w:ascii="Times New Roman" w:hAnsi="Times New Roman" w:eastAsia="黑体" w:cs="Times New Roman"/>
          <w:color w:val="auto"/>
          <w:sz w:val="28"/>
          <w:szCs w:val="28"/>
          <w:lang w:val="en-US" w:eastAsia="zh-CN" w:bidi="ar-SA"/>
        </w:rPr>
        <w:fldChar w:fldCharType="end"/>
      </w:r>
      <w:bookmarkEnd w:id="7"/>
    </w:p>
    <w:p>
      <w:pPr>
        <w:framePr w:w="9639" w:h="6974" w:hRule="exact" w:wrap="around" w:vAnchor="page" w:hAnchor="page" w:x="1419" w:y="6408" w:anchorLock="1"/>
        <w:spacing w:line="760" w:lineRule="exact"/>
        <w:ind w:left="-1418"/>
        <w:rPr>
          <w:color w:val="auto"/>
        </w:rPr>
      </w:pPr>
    </w:p>
    <w:p>
      <w:pPr>
        <w:pStyle w:val="125"/>
        <w:framePr w:w="9639" w:h="6974" w:hRule="exact" w:wrap="around" w:vAnchor="page" w:hAnchor="page" w:x="1419" w:y="6408" w:anchorLock="1"/>
        <w:textAlignment w:val="bottom"/>
        <w:rPr>
          <w:rFonts w:eastAsia="黑体"/>
          <w:color w:val="auto"/>
          <w:szCs w:val="28"/>
        </w:rPr>
      </w:pPr>
    </w:p>
    <w:p>
      <w:pPr>
        <w:pStyle w:val="125"/>
        <w:framePr w:w="9639" w:h="6974" w:hRule="exact" w:wrap="around" w:vAnchor="page" w:hAnchor="page" w:x="1419" w:y="6408" w:anchorLock="1"/>
        <w:spacing w:before="440" w:after="160"/>
        <w:textAlignment w:val="bottom"/>
        <w:rPr>
          <w:color w:val="auto"/>
          <w:sz w:val="24"/>
          <w:szCs w:val="28"/>
        </w:rPr>
      </w:pPr>
      <w:r>
        <w:rPr>
          <w:color w:val="auto"/>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8" w:name="下拉1"/>
      <w:r>
        <w:rPr>
          <w:color w:val="auto"/>
          <w:sz w:val="24"/>
          <w:szCs w:val="28"/>
        </w:rPr>
        <w:instrText xml:space="preserve"> FORMDROPDOWN </w:instrText>
      </w:r>
      <w:r>
        <w:rPr>
          <w:color w:val="auto"/>
          <w:sz w:val="24"/>
          <w:szCs w:val="28"/>
        </w:rPr>
        <w:fldChar w:fldCharType="separate"/>
      </w:r>
      <w:r>
        <w:rPr>
          <w:color w:val="auto"/>
          <w:sz w:val="24"/>
          <w:szCs w:val="28"/>
        </w:rPr>
        <w:fldChar w:fldCharType="end"/>
      </w:r>
      <w:bookmarkEnd w:id="8"/>
    </w:p>
    <w:p>
      <w:pPr>
        <w:pStyle w:val="125"/>
        <w:framePr w:w="9639" w:h="6974" w:hRule="exact" w:wrap="around" w:vAnchor="page" w:hAnchor="page" w:x="1419" w:y="6408" w:anchorLock="1"/>
        <w:spacing w:before="180" w:line="240" w:lineRule="atLeast"/>
        <w:textAlignment w:val="bottom"/>
        <w:rPr>
          <w:color w:val="auto"/>
          <w:sz w:val="21"/>
          <w:szCs w:val="28"/>
        </w:rPr>
      </w:pPr>
      <w:r>
        <w:rPr>
          <w:color w:val="auto"/>
          <w:sz w:val="21"/>
          <w:szCs w:val="28"/>
        </w:rPr>
        <w:fldChar w:fldCharType="begin">
          <w:ffData>
            <w:name w:val="CMPLSH_DATE"/>
            <w:enabled/>
            <w:calcOnExit w:val="0"/>
            <w:textInput/>
          </w:ffData>
        </w:fldChar>
      </w:r>
      <w:bookmarkStart w:id="9" w:name="CMPLSH_DATE"/>
      <w:r>
        <w:rPr>
          <w:color w:val="auto"/>
          <w:sz w:val="21"/>
          <w:szCs w:val="28"/>
        </w:rPr>
        <w:instrText xml:space="preserve"> FORMTEXT </w:instrText>
      </w:r>
      <w:r>
        <w:rPr>
          <w:color w:val="auto"/>
          <w:sz w:val="21"/>
          <w:szCs w:val="28"/>
        </w:rPr>
        <w:fldChar w:fldCharType="separate"/>
      </w:r>
      <w:r>
        <w:rPr>
          <w:color w:val="auto"/>
          <w:sz w:val="21"/>
          <w:szCs w:val="28"/>
        </w:rPr>
        <w:t>     </w:t>
      </w:r>
      <w:r>
        <w:rPr>
          <w:color w:val="auto"/>
          <w:sz w:val="21"/>
          <w:szCs w:val="28"/>
        </w:rPr>
        <w:fldChar w:fldCharType="end"/>
      </w:r>
      <w:bookmarkEnd w:id="9"/>
    </w:p>
    <w:p>
      <w:pPr>
        <w:pStyle w:val="125"/>
        <w:framePr w:w="9639" w:h="6974" w:hRule="exact" w:wrap="around" w:vAnchor="page" w:hAnchor="page" w:x="1419" w:y="6408" w:anchorLock="1"/>
        <w:spacing w:before="720" w:beforeLines="300" w:after="72" w:afterLines="30" w:line="240" w:lineRule="auto"/>
        <w:textAlignment w:val="bottom"/>
        <w:rPr>
          <w:b/>
          <w:color w:val="auto"/>
          <w:sz w:val="21"/>
          <w:szCs w:val="28"/>
        </w:rPr>
      </w:pPr>
      <w:r>
        <w:rPr>
          <w:b/>
          <w:color w:val="auto"/>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0" w:name="下拉2"/>
      <w:r>
        <w:rPr>
          <w:b/>
          <w:color w:val="auto"/>
          <w:sz w:val="21"/>
          <w:szCs w:val="28"/>
        </w:rPr>
        <w:instrText xml:space="preserve"> FORMDROPDOWN </w:instrText>
      </w:r>
      <w:r>
        <w:rPr>
          <w:b/>
          <w:color w:val="auto"/>
          <w:sz w:val="21"/>
          <w:szCs w:val="28"/>
        </w:rPr>
        <w:fldChar w:fldCharType="separate"/>
      </w:r>
      <w:r>
        <w:rPr>
          <w:b/>
          <w:color w:val="auto"/>
          <w:sz w:val="21"/>
          <w:szCs w:val="28"/>
        </w:rPr>
        <w:fldChar w:fldCharType="end"/>
      </w:r>
      <w:bookmarkEnd w:id="10"/>
    </w:p>
    <w:p>
      <w:pPr>
        <w:pStyle w:val="193"/>
        <w:framePr w:wrap="around" w:y="14176"/>
        <w:rPr>
          <w:color w:val="auto"/>
        </w:rPr>
      </w:pPr>
      <w:r>
        <w:rPr>
          <w:rFonts w:hint="eastAsia" w:ascii="黑体"/>
          <w:color w:val="auto"/>
        </w:rPr>
        <w:t>20XX</w:t>
      </w:r>
      <w:r>
        <w:rPr>
          <w:color w:val="auto"/>
        </w:rPr>
        <w:t xml:space="preserve"> </w:t>
      </w:r>
      <w:r>
        <w:rPr>
          <w:rFonts w:ascii="黑体"/>
          <w:color w:val="auto"/>
        </w:rPr>
        <w:t>-</w:t>
      </w:r>
      <w:r>
        <w:rPr>
          <w:color w:val="auto"/>
        </w:rPr>
        <w:t xml:space="preserve"> </w:t>
      </w:r>
      <w:r>
        <w:rPr>
          <w:rFonts w:hint="eastAsia" w:ascii="黑体"/>
          <w:color w:val="auto"/>
        </w:rPr>
        <w:t>XX</w:t>
      </w:r>
      <w:r>
        <w:rPr>
          <w:color w:val="auto"/>
        </w:rPr>
        <w:t xml:space="preserve"> </w:t>
      </w:r>
      <w:r>
        <w:rPr>
          <w:rFonts w:ascii="黑体"/>
          <w:color w:val="auto"/>
        </w:rPr>
        <w:t>-</w:t>
      </w:r>
      <w:r>
        <w:rPr>
          <w:color w:val="auto"/>
        </w:rPr>
        <w:t xml:space="preserve"> </w:t>
      </w:r>
      <w:r>
        <w:rPr>
          <w:rFonts w:hint="eastAsia" w:ascii="黑体"/>
          <w:color w:val="auto"/>
        </w:rPr>
        <w:t>XX</w:t>
      </w:r>
      <w:r>
        <w:rPr>
          <w:rFonts w:hint="eastAsia"/>
          <w:color w:val="auto"/>
        </w:rPr>
        <w:t>发布</w:t>
      </w:r>
    </w:p>
    <w:p>
      <w:pPr>
        <w:pStyle w:val="194"/>
        <w:framePr w:wrap="around" w:y="14176"/>
        <w:rPr>
          <w:color w:val="auto"/>
        </w:rPr>
      </w:pPr>
      <w:r>
        <w:rPr>
          <w:rFonts w:hint="eastAsia" w:ascii="黑体"/>
          <w:color w:val="auto"/>
        </w:rPr>
        <w:t>20XX</w:t>
      </w:r>
      <w:r>
        <w:rPr>
          <w:color w:val="auto"/>
        </w:rPr>
        <w:t xml:space="preserve"> </w:t>
      </w:r>
      <w:r>
        <w:rPr>
          <w:rFonts w:ascii="黑体"/>
          <w:color w:val="auto"/>
        </w:rPr>
        <w:t>-</w:t>
      </w:r>
      <w:r>
        <w:rPr>
          <w:color w:val="auto"/>
        </w:rPr>
        <w:t xml:space="preserve"> </w:t>
      </w:r>
      <w:r>
        <w:rPr>
          <w:rFonts w:hint="eastAsia" w:ascii="黑体"/>
          <w:color w:val="auto"/>
        </w:rPr>
        <w:t>XX</w:t>
      </w:r>
      <w:r>
        <w:rPr>
          <w:color w:val="auto"/>
        </w:rPr>
        <w:t xml:space="preserve"> </w:t>
      </w:r>
      <w:r>
        <w:rPr>
          <w:rFonts w:ascii="黑体"/>
          <w:color w:val="auto"/>
        </w:rPr>
        <w:t>-</w:t>
      </w:r>
      <w:r>
        <w:rPr>
          <w:color w:val="auto"/>
        </w:rPr>
        <w:t xml:space="preserve"> </w:t>
      </w:r>
      <w:r>
        <w:rPr>
          <w:rFonts w:hint="eastAsia" w:ascii="黑体"/>
          <w:color w:val="auto"/>
        </w:rPr>
        <w:t>XX</w:t>
      </w:r>
      <w:r>
        <w:rPr>
          <w:rFonts w:hint="eastAsia"/>
          <w:color w:val="auto"/>
        </w:rPr>
        <w:t>实施</w:t>
      </w:r>
    </w:p>
    <w:p>
      <w:pPr>
        <w:pStyle w:val="151"/>
        <w:framePr w:h="584" w:hRule="exact" w:hSpace="181" w:vSpace="181" w:wrap="around" w:y="15027"/>
        <w:rPr>
          <w:rFonts w:hAnsi="黑体"/>
          <w:color w:val="auto"/>
        </w:rPr>
      </w:pPr>
      <w:r>
        <w:rPr>
          <w:rFonts w:hAnsi="黑体"/>
          <w:color w:val="auto"/>
          <w:w w:val="100"/>
          <w:sz w:val="28"/>
        </w:rPr>
        <w:fldChar w:fldCharType="begin">
          <w:ffData>
            <w:name w:val="fm"/>
            <w:enabled/>
            <w:calcOnExit w:val="0"/>
            <w:textInput/>
          </w:ffData>
        </w:fldChar>
      </w:r>
      <w:bookmarkStart w:id="11" w:name="fm"/>
      <w:r>
        <w:rPr>
          <w:rFonts w:hAnsi="黑体"/>
          <w:color w:val="auto"/>
          <w:w w:val="100"/>
          <w:sz w:val="28"/>
        </w:rPr>
        <w:instrText xml:space="preserve"> FORMTEXT </w:instrText>
      </w:r>
      <w:r>
        <w:rPr>
          <w:rFonts w:hAnsi="黑体"/>
          <w:color w:val="auto"/>
          <w:w w:val="100"/>
          <w:sz w:val="28"/>
        </w:rPr>
        <w:fldChar w:fldCharType="separate"/>
      </w:r>
      <w:r>
        <w:rPr>
          <w:rFonts w:hint="eastAsia" w:hAnsi="黑体"/>
          <w:color w:val="auto"/>
          <w:w w:val="100"/>
          <w:sz w:val="28"/>
        </w:rPr>
        <w:t>武汉市市场监督管理局</w:t>
      </w:r>
      <w:r>
        <w:rPr>
          <w:rFonts w:hAnsi="黑体"/>
          <w:color w:val="auto"/>
          <w:w w:val="100"/>
          <w:sz w:val="28"/>
        </w:rPr>
        <w:fldChar w:fldCharType="end"/>
      </w:r>
      <w:bookmarkEnd w:id="11"/>
      <w:r>
        <w:rPr>
          <w:rFonts w:ascii="Times New Roman"/>
          <w:color w:val="auto"/>
          <w:w w:val="100"/>
          <w:sz w:val="28"/>
        </w:rPr>
        <w:t>  </w:t>
      </w:r>
      <w:r>
        <w:rPr>
          <w:rStyle w:val="229"/>
          <w:rFonts w:hint="eastAsia" w:hAnsi="黑体"/>
          <w:color w:val="auto"/>
          <w:position w:val="0"/>
        </w:rPr>
        <w:t>发</w:t>
      </w:r>
      <w:r>
        <w:rPr>
          <w:rStyle w:val="229"/>
          <w:rFonts w:hint="eastAsia" w:hAnsi="黑体"/>
          <w:color w:val="auto"/>
          <w:spacing w:val="0"/>
          <w:position w:val="0"/>
        </w:rPr>
        <w:t>布</w:t>
      </w:r>
    </w:p>
    <w:p>
      <w:pPr>
        <w:rPr>
          <w:rFonts w:ascii="宋体" w:hAnsi="宋体"/>
          <w:color w:val="auto"/>
          <w:sz w:val="28"/>
          <w:szCs w:val="28"/>
        </w:rPr>
        <w:sectPr>
          <w:headerReference r:id="rId5" w:type="first"/>
          <w:footerReference r:id="rId8" w:type="first"/>
          <w:headerReference r:id="rId3" w:type="default"/>
          <w:footerReference r:id="rId6" w:type="default"/>
          <w:headerReference r:id="rId4" w:type="even"/>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color w:val="auto"/>
          <w:sz w:val="28"/>
          <w:szCs w:val="28"/>
        </w:rPr>
        <mc:AlternateContent>
          <mc:Choice Requires="wps">
            <w:drawing>
              <wp:anchor distT="0" distB="0" distL="114300" distR="114300" simplePos="0" relativeHeight="251663360"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3360;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rMxz71wAAAA4BAAAPAAAAAAAAAAEAIAAAACIAAABkcnMvZG93&#10;bnJldi54bWxQSwECFAAUAAAACACHTuJAqt0+T8gBAABcAwAADgAAAAAAAAABACAAAAAmAQAAZHJz&#10;L2Uyb0RvYy54bWxQSwUGAAAAAAYABgBZAQAAYAUAAAAA&#10;">
                <v:fill on="f" focussize="0,0"/>
                <v:stroke color="#000000" joinstyle="round"/>
                <v:imagedata o:title=""/>
                <o:lock v:ext="edit" aspectratio="f"/>
                <w10:anchorlock/>
              </v:line>
            </w:pict>
          </mc:Fallback>
        </mc:AlternateContent>
      </w:r>
    </w:p>
    <w:p>
      <w:pPr>
        <w:pStyle w:val="91"/>
        <w:spacing w:after="468"/>
        <w:rPr>
          <w:color w:val="auto"/>
        </w:rPr>
      </w:pPr>
      <w:bookmarkStart w:id="12" w:name="BookMark1"/>
      <w:bookmarkStart w:id="13" w:name="_Toc119400638"/>
      <w:r>
        <w:rPr>
          <w:rFonts w:hint="eastAsia"/>
          <w:color w:val="auto"/>
          <w:spacing w:val="320"/>
        </w:rPr>
        <w:t>目</w:t>
      </w:r>
      <w:r>
        <w:rPr>
          <w:rFonts w:hint="eastAsia"/>
          <w:color w:val="auto"/>
        </w:rPr>
        <w:t>次</w:t>
      </w:r>
    </w:p>
    <w:p>
      <w:pPr>
        <w:pStyle w:val="19"/>
        <w:tabs>
          <w:tab w:val="right" w:leader="dot" w:pos="9354"/>
        </w:tabs>
        <w:rPr>
          <w:color w:val="auto"/>
        </w:rPr>
      </w:pPr>
      <w:r>
        <w:rPr>
          <w:color w:val="auto"/>
        </w:rPr>
        <w:fldChar w:fldCharType="begin"/>
      </w:r>
      <w:r>
        <w:rPr>
          <w:color w:val="auto"/>
        </w:rPr>
        <w:instrText xml:space="preserve"> TOC \o "1-1" \h \t "标准文件_一级条标题,2,标准文件_附录一级条标题,2," </w:instrText>
      </w:r>
      <w:r>
        <w:rPr>
          <w:color w:val="auto"/>
        </w:rPr>
        <w:fldChar w:fldCharType="separate"/>
      </w:r>
      <w:r>
        <w:rPr>
          <w:color w:val="auto"/>
        </w:rPr>
        <w:fldChar w:fldCharType="begin"/>
      </w:r>
      <w:r>
        <w:rPr>
          <w:color w:val="auto"/>
        </w:rPr>
        <w:instrText xml:space="preserve"> HYPERLINK \l _Toc11439 </w:instrText>
      </w:r>
      <w:r>
        <w:rPr>
          <w:color w:val="auto"/>
        </w:rPr>
        <w:fldChar w:fldCharType="separate"/>
      </w:r>
      <w:r>
        <w:rPr>
          <w:rFonts w:hint="eastAsia"/>
          <w:color w:val="auto"/>
          <w:lang w:val="en-US" w:eastAsia="zh-CN"/>
        </w:rPr>
        <w:t>前</w:t>
      </w:r>
      <w:r>
        <w:rPr>
          <w:color w:val="auto"/>
        </w:rPr>
        <w:t>言</w:t>
      </w:r>
      <w:r>
        <w:rPr>
          <w:color w:val="auto"/>
        </w:rPr>
        <w:tab/>
      </w:r>
      <w:r>
        <w:rPr>
          <w:color w:val="auto"/>
        </w:rPr>
        <w:fldChar w:fldCharType="begin"/>
      </w:r>
      <w:r>
        <w:rPr>
          <w:color w:val="auto"/>
        </w:rPr>
        <w:instrText xml:space="preserve"> PAGEREF _Toc11439 \h </w:instrText>
      </w:r>
      <w:r>
        <w:rPr>
          <w:color w:val="auto"/>
        </w:rPr>
        <w:fldChar w:fldCharType="separate"/>
      </w:r>
      <w:r>
        <w:rPr>
          <w:color w:val="auto"/>
        </w:rPr>
        <w:t>II</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_Toc25233 </w:instrText>
      </w:r>
      <w:r>
        <w:rPr>
          <w:color w:val="auto"/>
        </w:rPr>
        <w:fldChar w:fldCharType="separate"/>
      </w:r>
      <w:r>
        <w:rPr>
          <w:rFonts w:hint="eastAsia" w:ascii="黑体" w:eastAsia="黑体"/>
          <w:i w:val="0"/>
          <w:color w:val="auto"/>
          <w:szCs w:val="21"/>
        </w:rPr>
        <w:t>1</w:t>
      </w:r>
      <w:r>
        <w:rPr>
          <w:rFonts w:hint="eastAsia" w:ascii="黑体" w:eastAsia="黑体"/>
          <w:i w:val="0"/>
          <w:color w:val="auto"/>
          <w:szCs w:val="21"/>
          <w:lang w:val="en-US" w:eastAsia="zh-CN"/>
        </w:rPr>
        <w:t xml:space="preserve">  </w:t>
      </w:r>
      <w:r>
        <w:rPr>
          <w:rFonts w:hint="eastAsia"/>
          <w:color w:val="auto"/>
          <w:szCs w:val="21"/>
        </w:rPr>
        <w:t>范围</w:t>
      </w:r>
      <w:r>
        <w:rPr>
          <w:color w:val="auto"/>
        </w:rPr>
        <w:tab/>
      </w:r>
      <w:r>
        <w:rPr>
          <w:color w:val="auto"/>
        </w:rPr>
        <w:fldChar w:fldCharType="begin"/>
      </w:r>
      <w:r>
        <w:rPr>
          <w:color w:val="auto"/>
        </w:rPr>
        <w:instrText xml:space="preserve"> PAGEREF _Toc25233 \h </w:instrText>
      </w:r>
      <w:r>
        <w:rPr>
          <w:color w:val="auto"/>
        </w:rPr>
        <w:fldChar w:fldCharType="separate"/>
      </w:r>
      <w:r>
        <w:rPr>
          <w:color w:val="auto"/>
        </w:rPr>
        <w:t>3</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_Toc20281 </w:instrText>
      </w:r>
      <w:r>
        <w:rPr>
          <w:color w:val="auto"/>
        </w:rPr>
        <w:fldChar w:fldCharType="separate"/>
      </w:r>
      <w:r>
        <w:rPr>
          <w:rFonts w:hint="eastAsia" w:ascii="黑体" w:hAnsi="Times New Roman" w:eastAsia="黑体" w:cs="Times New Roman"/>
          <w:i w:val="0"/>
          <w:color w:val="auto"/>
          <w:szCs w:val="21"/>
        </w:rPr>
        <w:t>2</w:t>
      </w:r>
      <w:r>
        <w:rPr>
          <w:rFonts w:hint="eastAsia" w:ascii="黑体" w:hAnsi="Times New Roman" w:eastAsia="黑体" w:cs="Times New Roman"/>
          <w:i w:val="0"/>
          <w:color w:val="auto"/>
          <w:szCs w:val="21"/>
          <w:lang w:val="en-US" w:eastAsia="zh-CN"/>
        </w:rPr>
        <w:t xml:space="preserve">  </w:t>
      </w:r>
      <w:r>
        <w:rPr>
          <w:rFonts w:hint="eastAsia" w:hAnsi="Times New Roman" w:cs="Times New Roman"/>
          <w:color w:val="auto"/>
          <w:szCs w:val="21"/>
        </w:rPr>
        <w:t>规范性引用文件</w:t>
      </w:r>
      <w:r>
        <w:rPr>
          <w:color w:val="auto"/>
        </w:rPr>
        <w:tab/>
      </w:r>
      <w:r>
        <w:rPr>
          <w:color w:val="auto"/>
        </w:rPr>
        <w:fldChar w:fldCharType="begin"/>
      </w:r>
      <w:r>
        <w:rPr>
          <w:color w:val="auto"/>
        </w:rPr>
        <w:instrText xml:space="preserve"> PAGEREF _Toc20281 \h </w:instrText>
      </w:r>
      <w:r>
        <w:rPr>
          <w:color w:val="auto"/>
        </w:rPr>
        <w:fldChar w:fldCharType="separate"/>
      </w:r>
      <w:r>
        <w:rPr>
          <w:color w:val="auto"/>
        </w:rPr>
        <w:t>3</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_Toc388 </w:instrText>
      </w:r>
      <w:r>
        <w:rPr>
          <w:color w:val="auto"/>
        </w:rPr>
        <w:fldChar w:fldCharType="separate"/>
      </w:r>
      <w:r>
        <w:rPr>
          <w:rFonts w:hint="eastAsia" w:ascii="黑体" w:hAnsi="Times New Roman" w:eastAsia="黑体" w:cs="Times New Roman"/>
          <w:i w:val="0"/>
          <w:color w:val="auto"/>
          <w:szCs w:val="21"/>
        </w:rPr>
        <w:t>3</w:t>
      </w:r>
      <w:r>
        <w:rPr>
          <w:rFonts w:hint="eastAsia" w:ascii="黑体" w:hAnsi="Times New Roman" w:eastAsia="黑体" w:cs="Times New Roman"/>
          <w:i w:val="0"/>
          <w:color w:val="auto"/>
          <w:szCs w:val="21"/>
          <w:lang w:val="en-US" w:eastAsia="zh-CN"/>
        </w:rPr>
        <w:t xml:space="preserve">  </w:t>
      </w:r>
      <w:r>
        <w:rPr>
          <w:rFonts w:hint="eastAsia" w:hAnsi="Times New Roman" w:cs="Times New Roman"/>
          <w:color w:val="auto"/>
          <w:szCs w:val="21"/>
        </w:rPr>
        <w:t>术语和定义</w:t>
      </w:r>
      <w:r>
        <w:rPr>
          <w:color w:val="auto"/>
        </w:rPr>
        <w:tab/>
      </w:r>
      <w:r>
        <w:rPr>
          <w:color w:val="auto"/>
        </w:rPr>
        <w:fldChar w:fldCharType="begin"/>
      </w:r>
      <w:r>
        <w:rPr>
          <w:color w:val="auto"/>
        </w:rPr>
        <w:instrText xml:space="preserve"> PAGEREF _Toc388 \h </w:instrText>
      </w:r>
      <w:r>
        <w:rPr>
          <w:color w:val="auto"/>
        </w:rPr>
        <w:fldChar w:fldCharType="separate"/>
      </w:r>
      <w:r>
        <w:rPr>
          <w:color w:val="auto"/>
        </w:rPr>
        <w:t>3</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_Toc22604 </w:instrText>
      </w:r>
      <w:r>
        <w:rPr>
          <w:color w:val="auto"/>
        </w:rPr>
        <w:fldChar w:fldCharType="separate"/>
      </w:r>
      <w:r>
        <w:rPr>
          <w:rFonts w:hint="eastAsia" w:ascii="黑体" w:hAnsi="Times New Roman" w:eastAsia="黑体" w:cs="Times New Roman"/>
          <w:i w:val="0"/>
          <w:color w:val="auto"/>
          <w:szCs w:val="21"/>
        </w:rPr>
        <w:t>4</w:t>
      </w:r>
      <w:r>
        <w:rPr>
          <w:rFonts w:hint="eastAsia" w:ascii="黑体" w:hAnsi="Times New Roman" w:eastAsia="黑体" w:cs="Times New Roman"/>
          <w:i w:val="0"/>
          <w:color w:val="auto"/>
          <w:szCs w:val="21"/>
          <w:lang w:val="en-US" w:eastAsia="zh-CN"/>
        </w:rPr>
        <w:t xml:space="preserve">  </w:t>
      </w:r>
      <w:r>
        <w:rPr>
          <w:rFonts w:hint="eastAsia" w:cs="Times New Roman"/>
          <w:color w:val="auto"/>
          <w:szCs w:val="21"/>
          <w:lang w:val="en-US" w:eastAsia="zh-CN"/>
        </w:rPr>
        <w:t>网上仲裁受理范围</w:t>
      </w:r>
      <w:r>
        <w:rPr>
          <w:color w:val="auto"/>
        </w:rPr>
        <w:tab/>
      </w:r>
      <w:r>
        <w:rPr>
          <w:color w:val="auto"/>
        </w:rPr>
        <w:fldChar w:fldCharType="begin"/>
      </w:r>
      <w:r>
        <w:rPr>
          <w:color w:val="auto"/>
        </w:rPr>
        <w:instrText xml:space="preserve"> PAGEREF _Toc22604 \h </w:instrText>
      </w:r>
      <w:r>
        <w:rPr>
          <w:color w:val="auto"/>
        </w:rPr>
        <w:fldChar w:fldCharType="separate"/>
      </w:r>
      <w:r>
        <w:rPr>
          <w:color w:val="auto"/>
        </w:rPr>
        <w:t>4</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_Toc18350 </w:instrText>
      </w:r>
      <w:r>
        <w:rPr>
          <w:color w:val="auto"/>
        </w:rPr>
        <w:fldChar w:fldCharType="separate"/>
      </w:r>
      <w:r>
        <w:rPr>
          <w:rFonts w:hint="eastAsia" w:ascii="黑体" w:hAnsi="Times New Roman" w:eastAsia="黑体" w:cs="Times New Roman"/>
          <w:i w:val="0"/>
          <w:color w:val="auto"/>
          <w:szCs w:val="21"/>
        </w:rPr>
        <w:t>5</w:t>
      </w:r>
      <w:r>
        <w:rPr>
          <w:rFonts w:hint="eastAsia" w:ascii="黑体" w:hAnsi="Times New Roman" w:eastAsia="黑体" w:cs="Times New Roman"/>
          <w:i w:val="0"/>
          <w:color w:val="auto"/>
          <w:szCs w:val="21"/>
          <w:lang w:val="en-US" w:eastAsia="zh-CN"/>
        </w:rPr>
        <w:t xml:space="preserve">  </w:t>
      </w:r>
      <w:r>
        <w:rPr>
          <w:rFonts w:hint="eastAsia" w:hAnsi="Times New Roman" w:cs="Times New Roman"/>
          <w:color w:val="auto"/>
          <w:szCs w:val="21"/>
          <w:lang w:val="en-US" w:eastAsia="zh-CN"/>
        </w:rPr>
        <w:t>人员要求</w:t>
      </w:r>
      <w:r>
        <w:rPr>
          <w:color w:val="auto"/>
        </w:rPr>
        <w:tab/>
      </w:r>
      <w:r>
        <w:rPr>
          <w:color w:val="auto"/>
        </w:rPr>
        <w:fldChar w:fldCharType="begin"/>
      </w:r>
      <w:r>
        <w:rPr>
          <w:color w:val="auto"/>
        </w:rPr>
        <w:instrText xml:space="preserve"> PAGEREF _Toc18350 \h </w:instrText>
      </w:r>
      <w:r>
        <w:rPr>
          <w:color w:val="auto"/>
        </w:rPr>
        <w:fldChar w:fldCharType="separate"/>
      </w:r>
      <w:r>
        <w:rPr>
          <w:color w:val="auto"/>
        </w:rPr>
        <w:t>4</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_Toc10314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5.1 </w:t>
      </w:r>
      <w:r>
        <w:rPr>
          <w:rFonts w:hint="eastAsia"/>
          <w:color w:val="auto"/>
          <w:lang w:val="en-US" w:eastAsia="zh-CN"/>
        </w:rPr>
        <w:t>总体要求</w:t>
      </w:r>
      <w:r>
        <w:rPr>
          <w:color w:val="auto"/>
        </w:rPr>
        <w:tab/>
      </w:r>
      <w:r>
        <w:rPr>
          <w:color w:val="auto"/>
        </w:rPr>
        <w:fldChar w:fldCharType="begin"/>
      </w:r>
      <w:r>
        <w:rPr>
          <w:color w:val="auto"/>
        </w:rPr>
        <w:instrText xml:space="preserve"> PAGEREF _Toc10314 \h </w:instrText>
      </w:r>
      <w:r>
        <w:rPr>
          <w:color w:val="auto"/>
        </w:rPr>
        <w:fldChar w:fldCharType="separate"/>
      </w:r>
      <w:r>
        <w:rPr>
          <w:color w:val="auto"/>
        </w:rPr>
        <w:t>4</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_Toc7262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5.2 </w:t>
      </w:r>
      <w:r>
        <w:rPr>
          <w:rFonts w:hint="eastAsia"/>
          <w:color w:val="auto"/>
          <w:lang w:val="en-US" w:eastAsia="zh-CN"/>
        </w:rPr>
        <w:t>具体要求</w:t>
      </w:r>
      <w:r>
        <w:rPr>
          <w:color w:val="auto"/>
        </w:rPr>
        <w:tab/>
      </w:r>
      <w:r>
        <w:rPr>
          <w:color w:val="auto"/>
        </w:rPr>
        <w:fldChar w:fldCharType="begin"/>
      </w:r>
      <w:r>
        <w:rPr>
          <w:color w:val="auto"/>
        </w:rPr>
        <w:instrText xml:space="preserve"> PAGEREF _Toc7262 \h </w:instrText>
      </w:r>
      <w:r>
        <w:rPr>
          <w:color w:val="auto"/>
        </w:rPr>
        <w:fldChar w:fldCharType="separate"/>
      </w:r>
      <w:r>
        <w:rPr>
          <w:color w:val="auto"/>
        </w:rPr>
        <w:t>4</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_Toc22490 </w:instrText>
      </w:r>
      <w:r>
        <w:rPr>
          <w:color w:val="auto"/>
        </w:rPr>
        <w:fldChar w:fldCharType="separate"/>
      </w:r>
      <w:r>
        <w:rPr>
          <w:rFonts w:hint="eastAsia" w:ascii="黑体" w:hAnsi="Times New Roman" w:eastAsia="黑体" w:cs="Times New Roman"/>
          <w:i w:val="0"/>
          <w:color w:val="auto"/>
          <w:szCs w:val="21"/>
          <w:lang w:val="en-US" w:eastAsia="zh-CN"/>
        </w:rPr>
        <w:t xml:space="preserve">6  </w:t>
      </w:r>
      <w:r>
        <w:rPr>
          <w:rFonts w:hint="eastAsia" w:hAnsi="Times New Roman" w:cs="Times New Roman"/>
          <w:color w:val="auto"/>
          <w:szCs w:val="21"/>
          <w:lang w:val="en-US" w:eastAsia="zh-CN"/>
        </w:rPr>
        <w:t>技术要求</w:t>
      </w:r>
      <w:r>
        <w:rPr>
          <w:color w:val="auto"/>
        </w:rPr>
        <w:tab/>
      </w:r>
      <w:r>
        <w:rPr>
          <w:color w:val="auto"/>
        </w:rPr>
        <w:fldChar w:fldCharType="begin"/>
      </w:r>
      <w:r>
        <w:rPr>
          <w:color w:val="auto"/>
        </w:rPr>
        <w:instrText xml:space="preserve"> PAGEREF _Toc22490 \h </w:instrText>
      </w:r>
      <w:r>
        <w:rPr>
          <w:color w:val="auto"/>
        </w:rPr>
        <w:fldChar w:fldCharType="separate"/>
      </w:r>
      <w:r>
        <w:rPr>
          <w:color w:val="auto"/>
        </w:rPr>
        <w:t>5</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_Toc4587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6.1 </w:t>
      </w:r>
      <w:r>
        <w:rPr>
          <w:rFonts w:hint="eastAsia" w:hAnsi="Times New Roman" w:cs="Times New Roman"/>
          <w:color w:val="auto"/>
          <w:lang w:val="en-US" w:eastAsia="zh-CN"/>
        </w:rPr>
        <w:t>总体要求</w:t>
      </w:r>
      <w:r>
        <w:rPr>
          <w:color w:val="auto"/>
        </w:rPr>
        <w:tab/>
      </w:r>
      <w:r>
        <w:rPr>
          <w:color w:val="auto"/>
        </w:rPr>
        <w:fldChar w:fldCharType="begin"/>
      </w:r>
      <w:r>
        <w:rPr>
          <w:color w:val="auto"/>
        </w:rPr>
        <w:instrText xml:space="preserve"> PAGEREF _Toc4587 \h </w:instrText>
      </w:r>
      <w:r>
        <w:rPr>
          <w:color w:val="auto"/>
        </w:rPr>
        <w:fldChar w:fldCharType="separate"/>
      </w:r>
      <w:r>
        <w:rPr>
          <w:color w:val="auto"/>
        </w:rPr>
        <w:t>5</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_Toc17180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szCs w:val="21"/>
          <w:vertAlign w:val="baseline"/>
          <w:lang w:val="en-US" w:eastAsia="zh-CN" w:bidi="ar-SA"/>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6.2 </w:t>
      </w:r>
      <w:r>
        <w:rPr>
          <w:rFonts w:hint="eastAsia" w:hAnsi="Times New Roman" w:cs="Times New Roman"/>
          <w:color w:val="auto"/>
          <w:lang w:val="en-US" w:eastAsia="zh-CN"/>
        </w:rPr>
        <w:t>硬件</w:t>
      </w:r>
      <w:r>
        <w:rPr>
          <w:rFonts w:hint="eastAsia" w:cs="Times New Roman"/>
          <w:color w:val="auto"/>
          <w:lang w:val="en-US" w:eastAsia="zh-CN"/>
        </w:rPr>
        <w:t>要求</w:t>
      </w:r>
      <w:r>
        <w:rPr>
          <w:color w:val="auto"/>
        </w:rPr>
        <w:tab/>
      </w:r>
      <w:r>
        <w:rPr>
          <w:color w:val="auto"/>
        </w:rPr>
        <w:fldChar w:fldCharType="begin"/>
      </w:r>
      <w:r>
        <w:rPr>
          <w:color w:val="auto"/>
        </w:rPr>
        <w:instrText xml:space="preserve"> PAGEREF _Toc17180 \h </w:instrText>
      </w:r>
      <w:r>
        <w:rPr>
          <w:color w:val="auto"/>
        </w:rPr>
        <w:fldChar w:fldCharType="separate"/>
      </w:r>
      <w:r>
        <w:rPr>
          <w:color w:val="auto"/>
        </w:rPr>
        <w:t>5</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_Toc14216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6.3 </w:t>
      </w:r>
      <w:r>
        <w:rPr>
          <w:rFonts w:hint="eastAsia" w:hAnsi="Times New Roman" w:cs="Times New Roman"/>
          <w:color w:val="auto"/>
          <w:lang w:val="en-US" w:eastAsia="zh-CN"/>
        </w:rPr>
        <w:t>软件</w:t>
      </w:r>
      <w:r>
        <w:rPr>
          <w:rFonts w:hint="eastAsia" w:cs="Times New Roman"/>
          <w:color w:val="auto"/>
          <w:lang w:val="en-US" w:eastAsia="zh-CN"/>
        </w:rPr>
        <w:t>要求</w:t>
      </w:r>
      <w:r>
        <w:rPr>
          <w:color w:val="auto"/>
        </w:rPr>
        <w:tab/>
      </w:r>
      <w:r>
        <w:rPr>
          <w:color w:val="auto"/>
        </w:rPr>
        <w:fldChar w:fldCharType="begin"/>
      </w:r>
      <w:r>
        <w:rPr>
          <w:color w:val="auto"/>
        </w:rPr>
        <w:instrText xml:space="preserve"> PAGEREF _Toc14216 \h </w:instrText>
      </w:r>
      <w:r>
        <w:rPr>
          <w:color w:val="auto"/>
        </w:rPr>
        <w:fldChar w:fldCharType="separate"/>
      </w:r>
      <w:r>
        <w:rPr>
          <w:color w:val="auto"/>
        </w:rPr>
        <w:t>6</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_Toc31053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6.4 </w:t>
      </w:r>
      <w:r>
        <w:rPr>
          <w:rFonts w:hint="eastAsia" w:hAnsi="Times New Roman" w:cs="Times New Roman"/>
          <w:color w:val="auto"/>
          <w:lang w:val="en-US" w:eastAsia="zh-CN"/>
        </w:rPr>
        <w:t>场地</w:t>
      </w:r>
      <w:r>
        <w:rPr>
          <w:rFonts w:hint="eastAsia" w:cs="Times New Roman"/>
          <w:color w:val="auto"/>
          <w:lang w:val="en-US" w:eastAsia="zh-CN"/>
        </w:rPr>
        <w:t>要求</w:t>
      </w:r>
      <w:r>
        <w:rPr>
          <w:color w:val="auto"/>
        </w:rPr>
        <w:tab/>
      </w:r>
      <w:r>
        <w:rPr>
          <w:color w:val="auto"/>
        </w:rPr>
        <w:fldChar w:fldCharType="begin"/>
      </w:r>
      <w:r>
        <w:rPr>
          <w:color w:val="auto"/>
        </w:rPr>
        <w:instrText xml:space="preserve"> PAGEREF _Toc31053 \h </w:instrText>
      </w:r>
      <w:r>
        <w:rPr>
          <w:color w:val="auto"/>
        </w:rPr>
        <w:fldChar w:fldCharType="separate"/>
      </w:r>
      <w:r>
        <w:rPr>
          <w:color w:val="auto"/>
        </w:rPr>
        <w:t>6</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_Toc8684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6.5 </w:t>
      </w:r>
      <w:r>
        <w:rPr>
          <w:rFonts w:hint="eastAsia" w:hAnsi="Times New Roman" w:cs="Times New Roman"/>
          <w:color w:val="auto"/>
          <w:lang w:val="en-US" w:eastAsia="zh-CN"/>
        </w:rPr>
        <w:t>数字安全</w:t>
      </w:r>
      <w:r>
        <w:rPr>
          <w:rFonts w:hint="eastAsia" w:cs="Times New Roman"/>
          <w:color w:val="auto"/>
          <w:lang w:val="en-US" w:eastAsia="zh-CN"/>
        </w:rPr>
        <w:t>要求</w:t>
      </w:r>
      <w:r>
        <w:rPr>
          <w:color w:val="auto"/>
        </w:rPr>
        <w:tab/>
      </w:r>
      <w:r>
        <w:rPr>
          <w:color w:val="auto"/>
        </w:rPr>
        <w:fldChar w:fldCharType="begin"/>
      </w:r>
      <w:r>
        <w:rPr>
          <w:color w:val="auto"/>
        </w:rPr>
        <w:instrText xml:space="preserve"> PAGEREF _Toc8684 \h </w:instrText>
      </w:r>
      <w:r>
        <w:rPr>
          <w:color w:val="auto"/>
        </w:rPr>
        <w:fldChar w:fldCharType="separate"/>
      </w:r>
      <w:r>
        <w:rPr>
          <w:color w:val="auto"/>
        </w:rPr>
        <w:t>6</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_Toc3701 </w:instrText>
      </w:r>
      <w:r>
        <w:rPr>
          <w:color w:val="auto"/>
        </w:rPr>
        <w:fldChar w:fldCharType="separate"/>
      </w:r>
      <w:r>
        <w:rPr>
          <w:rFonts w:hint="eastAsia" w:ascii="黑体" w:hAnsi="Times New Roman" w:eastAsia="黑体" w:cs="Times New Roman"/>
          <w:i w:val="0"/>
          <w:color w:val="auto"/>
          <w:szCs w:val="21"/>
          <w:lang w:val="en-US" w:eastAsia="zh-CN"/>
        </w:rPr>
        <w:t xml:space="preserve">7  </w:t>
      </w:r>
      <w:r>
        <w:rPr>
          <w:rFonts w:hint="eastAsia" w:hAnsi="Times New Roman" w:cs="Times New Roman"/>
          <w:color w:val="auto"/>
          <w:szCs w:val="21"/>
          <w:lang w:val="en-US" w:eastAsia="zh-CN"/>
        </w:rPr>
        <w:t>服务</w:t>
      </w:r>
      <w:r>
        <w:rPr>
          <w:rFonts w:hint="eastAsia" w:cs="Times New Roman"/>
          <w:color w:val="auto"/>
          <w:szCs w:val="21"/>
          <w:lang w:val="en-US" w:eastAsia="zh-CN"/>
        </w:rPr>
        <w:t>要求</w:t>
      </w:r>
      <w:r>
        <w:rPr>
          <w:color w:val="auto"/>
        </w:rPr>
        <w:tab/>
      </w:r>
      <w:r>
        <w:rPr>
          <w:color w:val="auto"/>
        </w:rPr>
        <w:fldChar w:fldCharType="begin"/>
      </w:r>
      <w:r>
        <w:rPr>
          <w:color w:val="auto"/>
        </w:rPr>
        <w:instrText xml:space="preserve"> PAGEREF _Toc3701 \h </w:instrText>
      </w:r>
      <w:r>
        <w:rPr>
          <w:color w:val="auto"/>
        </w:rPr>
        <w:fldChar w:fldCharType="separate"/>
      </w:r>
      <w:r>
        <w:rPr>
          <w:color w:val="auto"/>
        </w:rPr>
        <w:t>6</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_Toc17691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7.1 </w:t>
      </w:r>
      <w:r>
        <w:rPr>
          <w:rFonts w:hint="eastAsia" w:hAnsi="Times New Roman" w:cs="Times New Roman"/>
          <w:color w:val="auto"/>
          <w:lang w:val="en-US" w:eastAsia="zh-CN"/>
        </w:rPr>
        <w:t>仲裁参与人实名认证与身份核实</w:t>
      </w:r>
      <w:r>
        <w:rPr>
          <w:color w:val="auto"/>
        </w:rPr>
        <w:tab/>
      </w:r>
      <w:r>
        <w:rPr>
          <w:color w:val="auto"/>
        </w:rPr>
        <w:fldChar w:fldCharType="begin"/>
      </w:r>
      <w:r>
        <w:rPr>
          <w:color w:val="auto"/>
        </w:rPr>
        <w:instrText xml:space="preserve"> PAGEREF _Toc17691 \h </w:instrText>
      </w:r>
      <w:r>
        <w:rPr>
          <w:color w:val="auto"/>
        </w:rPr>
        <w:fldChar w:fldCharType="separate"/>
      </w:r>
      <w:r>
        <w:rPr>
          <w:color w:val="auto"/>
        </w:rPr>
        <w:t>6</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_Toc24087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7.2 </w:t>
      </w:r>
      <w:r>
        <w:rPr>
          <w:rFonts w:hint="eastAsia" w:hAnsi="Times New Roman" w:cs="Times New Roman"/>
          <w:color w:val="auto"/>
          <w:lang w:val="en-US" w:eastAsia="zh-CN"/>
        </w:rPr>
        <w:t>电子</w:t>
      </w:r>
      <w:r>
        <w:rPr>
          <w:rFonts w:hint="eastAsia" w:cs="Times New Roman"/>
          <w:color w:val="auto"/>
          <w:lang w:val="en-US" w:eastAsia="zh-CN"/>
        </w:rPr>
        <w:t>数据</w:t>
      </w:r>
      <w:r>
        <w:rPr>
          <w:rFonts w:hint="eastAsia" w:hAnsi="Times New Roman" w:cs="Times New Roman"/>
          <w:color w:val="auto"/>
          <w:lang w:val="en-US" w:eastAsia="zh-CN"/>
        </w:rPr>
        <w:t>存证</w:t>
      </w:r>
      <w:r>
        <w:rPr>
          <w:color w:val="auto"/>
        </w:rPr>
        <w:tab/>
      </w:r>
      <w:r>
        <w:rPr>
          <w:color w:val="auto"/>
        </w:rPr>
        <w:fldChar w:fldCharType="begin"/>
      </w:r>
      <w:r>
        <w:rPr>
          <w:color w:val="auto"/>
        </w:rPr>
        <w:instrText xml:space="preserve"> PAGEREF _Toc24087 \h </w:instrText>
      </w:r>
      <w:r>
        <w:rPr>
          <w:color w:val="auto"/>
        </w:rPr>
        <w:fldChar w:fldCharType="separate"/>
      </w:r>
      <w:r>
        <w:rPr>
          <w:color w:val="auto"/>
        </w:rPr>
        <w:t>7</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_Toc1865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7.3 </w:t>
      </w:r>
      <w:r>
        <w:rPr>
          <w:rFonts w:hint="eastAsia" w:hAnsi="Times New Roman" w:cs="Times New Roman"/>
          <w:color w:val="auto"/>
          <w:lang w:val="en-US" w:eastAsia="zh-CN"/>
        </w:rPr>
        <w:t>当事人信息使用</w:t>
      </w:r>
      <w:r>
        <w:rPr>
          <w:color w:val="auto"/>
        </w:rPr>
        <w:tab/>
      </w:r>
      <w:r>
        <w:rPr>
          <w:color w:val="auto"/>
        </w:rPr>
        <w:fldChar w:fldCharType="begin"/>
      </w:r>
      <w:r>
        <w:rPr>
          <w:color w:val="auto"/>
        </w:rPr>
        <w:instrText xml:space="preserve"> PAGEREF _Toc1865 \h </w:instrText>
      </w:r>
      <w:r>
        <w:rPr>
          <w:color w:val="auto"/>
        </w:rPr>
        <w:fldChar w:fldCharType="separate"/>
      </w:r>
      <w:r>
        <w:rPr>
          <w:color w:val="auto"/>
        </w:rPr>
        <w:t>7</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_Toc28272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7.4 </w:t>
      </w:r>
      <w:r>
        <w:rPr>
          <w:rFonts w:hint="eastAsia" w:hAnsi="Times New Roman" w:cs="Times New Roman"/>
          <w:color w:val="auto"/>
          <w:lang w:val="en-US" w:eastAsia="zh-CN"/>
        </w:rPr>
        <w:t>立案</w:t>
      </w:r>
      <w:r>
        <w:rPr>
          <w:color w:val="auto"/>
        </w:rPr>
        <w:tab/>
      </w:r>
      <w:r>
        <w:rPr>
          <w:color w:val="auto"/>
        </w:rPr>
        <w:fldChar w:fldCharType="begin"/>
      </w:r>
      <w:r>
        <w:rPr>
          <w:color w:val="auto"/>
        </w:rPr>
        <w:instrText xml:space="preserve"> PAGEREF _Toc28272 \h </w:instrText>
      </w:r>
      <w:r>
        <w:rPr>
          <w:color w:val="auto"/>
        </w:rPr>
        <w:fldChar w:fldCharType="separate"/>
      </w:r>
      <w:r>
        <w:rPr>
          <w:color w:val="auto"/>
        </w:rPr>
        <w:t>8</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_Toc4915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7.5 </w:t>
      </w:r>
      <w:r>
        <w:rPr>
          <w:rFonts w:hint="eastAsia" w:hAnsi="Times New Roman" w:cs="Times New Roman"/>
          <w:color w:val="auto"/>
          <w:lang w:val="en-US" w:eastAsia="zh-CN"/>
        </w:rPr>
        <w:t>组庭</w:t>
      </w:r>
      <w:r>
        <w:rPr>
          <w:color w:val="auto"/>
        </w:rPr>
        <w:tab/>
      </w:r>
      <w:r>
        <w:rPr>
          <w:color w:val="auto"/>
        </w:rPr>
        <w:fldChar w:fldCharType="begin"/>
      </w:r>
      <w:r>
        <w:rPr>
          <w:color w:val="auto"/>
        </w:rPr>
        <w:instrText xml:space="preserve"> PAGEREF _Toc4915 \h </w:instrText>
      </w:r>
      <w:r>
        <w:rPr>
          <w:color w:val="auto"/>
        </w:rPr>
        <w:fldChar w:fldCharType="separate"/>
      </w:r>
      <w:r>
        <w:rPr>
          <w:color w:val="auto"/>
        </w:rPr>
        <w:t>8</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_Toc20214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7.6 </w:t>
      </w:r>
      <w:r>
        <w:rPr>
          <w:rFonts w:hint="eastAsia" w:hAnsi="Times New Roman" w:cs="Times New Roman"/>
          <w:color w:val="auto"/>
          <w:lang w:val="en-US" w:eastAsia="zh-CN"/>
        </w:rPr>
        <w:t>审理</w:t>
      </w:r>
      <w:r>
        <w:rPr>
          <w:color w:val="auto"/>
        </w:rPr>
        <w:tab/>
      </w:r>
      <w:r>
        <w:rPr>
          <w:color w:val="auto"/>
        </w:rPr>
        <w:fldChar w:fldCharType="begin"/>
      </w:r>
      <w:r>
        <w:rPr>
          <w:color w:val="auto"/>
        </w:rPr>
        <w:instrText xml:space="preserve"> PAGEREF _Toc20214 \h </w:instrText>
      </w:r>
      <w:r>
        <w:rPr>
          <w:color w:val="auto"/>
        </w:rPr>
        <w:fldChar w:fldCharType="separate"/>
      </w:r>
      <w:r>
        <w:rPr>
          <w:color w:val="auto"/>
        </w:rPr>
        <w:t>9</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_Toc13175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7.7 </w:t>
      </w:r>
      <w:r>
        <w:rPr>
          <w:rFonts w:hint="eastAsia" w:hAnsi="Times New Roman" w:cs="Times New Roman"/>
          <w:color w:val="auto"/>
          <w:lang w:val="en-US" w:eastAsia="zh-CN"/>
        </w:rPr>
        <w:t>结案</w:t>
      </w:r>
      <w:r>
        <w:rPr>
          <w:color w:val="auto"/>
        </w:rPr>
        <w:tab/>
      </w:r>
      <w:r>
        <w:rPr>
          <w:color w:val="auto"/>
        </w:rPr>
        <w:fldChar w:fldCharType="begin"/>
      </w:r>
      <w:r>
        <w:rPr>
          <w:color w:val="auto"/>
        </w:rPr>
        <w:instrText xml:space="preserve"> PAGEREF _Toc13175 \h </w:instrText>
      </w:r>
      <w:r>
        <w:rPr>
          <w:color w:val="auto"/>
        </w:rPr>
        <w:fldChar w:fldCharType="separate"/>
      </w:r>
      <w:r>
        <w:rPr>
          <w:color w:val="auto"/>
        </w:rPr>
        <w:t>9</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_Toc15559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7.8 </w:t>
      </w:r>
      <w:r>
        <w:rPr>
          <w:rFonts w:hint="eastAsia" w:hAnsi="Times New Roman" w:cs="Times New Roman"/>
          <w:color w:val="auto"/>
          <w:lang w:val="en-US" w:eastAsia="zh-CN"/>
        </w:rPr>
        <w:t>送达</w:t>
      </w:r>
      <w:r>
        <w:rPr>
          <w:color w:val="auto"/>
        </w:rPr>
        <w:tab/>
      </w:r>
      <w:r>
        <w:rPr>
          <w:color w:val="auto"/>
        </w:rPr>
        <w:fldChar w:fldCharType="begin"/>
      </w:r>
      <w:r>
        <w:rPr>
          <w:color w:val="auto"/>
        </w:rPr>
        <w:instrText xml:space="preserve"> PAGEREF _Toc15559 \h </w:instrText>
      </w:r>
      <w:r>
        <w:rPr>
          <w:color w:val="auto"/>
        </w:rPr>
        <w:fldChar w:fldCharType="separate"/>
      </w:r>
      <w:r>
        <w:rPr>
          <w:color w:val="auto"/>
        </w:rPr>
        <w:t>10</w:t>
      </w:r>
      <w:r>
        <w:rPr>
          <w:color w:val="auto"/>
        </w:rPr>
        <w:fldChar w:fldCharType="end"/>
      </w:r>
      <w:r>
        <w:rPr>
          <w:color w:val="auto"/>
        </w:rPr>
        <w:fldChar w:fldCharType="end"/>
      </w:r>
    </w:p>
    <w:p>
      <w:pPr>
        <w:pStyle w:val="24"/>
        <w:tabs>
          <w:tab w:val="right" w:leader="dot" w:pos="9354"/>
          <w:tab w:val="clear" w:pos="9344"/>
        </w:tabs>
        <w:rPr>
          <w:color w:val="auto"/>
        </w:rPr>
      </w:pPr>
      <w:r>
        <w:rPr>
          <w:color w:val="auto"/>
        </w:rPr>
        <w:fldChar w:fldCharType="begin"/>
      </w:r>
      <w:r>
        <w:rPr>
          <w:color w:val="auto"/>
        </w:rPr>
        <w:instrText xml:space="preserve"> HYPERLINK \l _Toc16848 </w:instrText>
      </w:r>
      <w:r>
        <w:rPr>
          <w:color w:val="auto"/>
        </w:rPr>
        <w:fldChar w:fldCharType="separate"/>
      </w:r>
      <w:r>
        <w:rPr>
          <w:rFonts w:hint="eastAsia" w:ascii="黑体" w:hAnsi="黑体" w:eastAsia="黑体" w:cs="Times New Roman"/>
          <w:bCs w:val="0"/>
          <w:i w:val="0"/>
          <w:iCs w:val="0"/>
          <w:caps w:val="0"/>
          <w:smallCaps w:val="0"/>
          <w:strike w:val="0"/>
          <w:dstrike w:val="0"/>
          <w:vanish w:val="0"/>
          <w:color w:val="auto"/>
          <w:spacing w:val="0"/>
          <w:kern w:val="0"/>
          <w:position w:val="0"/>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7.9 </w:t>
      </w:r>
      <w:r>
        <w:rPr>
          <w:rFonts w:hint="eastAsia" w:hAnsi="Times New Roman" w:cs="Times New Roman"/>
          <w:color w:val="auto"/>
          <w:lang w:val="en-US" w:eastAsia="zh-CN"/>
        </w:rPr>
        <w:t>电子卷宗归档规范</w:t>
      </w:r>
      <w:r>
        <w:rPr>
          <w:color w:val="auto"/>
        </w:rPr>
        <w:tab/>
      </w:r>
      <w:r>
        <w:rPr>
          <w:color w:val="auto"/>
        </w:rPr>
        <w:fldChar w:fldCharType="begin"/>
      </w:r>
      <w:r>
        <w:rPr>
          <w:color w:val="auto"/>
        </w:rPr>
        <w:instrText xml:space="preserve"> PAGEREF _Toc16848 \h </w:instrText>
      </w:r>
      <w:r>
        <w:rPr>
          <w:color w:val="auto"/>
        </w:rPr>
        <w:fldChar w:fldCharType="separate"/>
      </w:r>
      <w:r>
        <w:rPr>
          <w:color w:val="auto"/>
        </w:rPr>
        <w:t>10</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_Toc16252 </w:instrText>
      </w:r>
      <w:r>
        <w:rPr>
          <w:color w:val="auto"/>
        </w:rPr>
        <w:fldChar w:fldCharType="separate"/>
      </w:r>
      <w:r>
        <w:rPr>
          <w:rFonts w:hint="eastAsia"/>
          <w:color w:val="auto"/>
          <w:lang w:val="en-US" w:eastAsia="zh-CN"/>
        </w:rPr>
        <w:t>附录A</w:t>
      </w:r>
      <w:r>
        <w:rPr>
          <w:rFonts w:hint="eastAsia"/>
          <w:color w:val="auto"/>
          <w:highlight w:val="none"/>
        </w:rPr>
        <w:t>（</w:t>
      </w:r>
      <w:r>
        <w:rPr>
          <w:rFonts w:hint="eastAsia"/>
          <w:color w:val="auto"/>
          <w:highlight w:val="none"/>
          <w:lang w:val="en-US" w:eastAsia="zh-CN"/>
        </w:rPr>
        <w:t>资料</w:t>
      </w:r>
      <w:r>
        <w:rPr>
          <w:rFonts w:hint="eastAsia"/>
          <w:color w:val="auto"/>
          <w:highlight w:val="none"/>
        </w:rPr>
        <w:t>性）</w:t>
      </w:r>
      <w:r>
        <w:rPr>
          <w:rFonts w:hint="eastAsia"/>
          <w:color w:val="auto"/>
          <w:highlight w:val="none"/>
          <w:lang w:val="en-US" w:eastAsia="zh-CN"/>
        </w:rPr>
        <w:t>网上仲裁庭审中硬件设备的一般性能参数</w:t>
      </w:r>
      <w:r>
        <w:rPr>
          <w:color w:val="auto"/>
        </w:rPr>
        <w:tab/>
      </w:r>
      <w:r>
        <w:rPr>
          <w:color w:val="auto"/>
        </w:rPr>
        <w:fldChar w:fldCharType="begin"/>
      </w:r>
      <w:r>
        <w:rPr>
          <w:color w:val="auto"/>
        </w:rPr>
        <w:instrText xml:space="preserve"> PAGEREF _Toc16252 \h </w:instrText>
      </w:r>
      <w:r>
        <w:rPr>
          <w:color w:val="auto"/>
        </w:rPr>
        <w:fldChar w:fldCharType="separate"/>
      </w:r>
      <w:r>
        <w:rPr>
          <w:color w:val="auto"/>
        </w:rPr>
        <w:t>11</w:t>
      </w:r>
      <w:r>
        <w:rPr>
          <w:color w:val="auto"/>
        </w:rPr>
        <w:fldChar w:fldCharType="end"/>
      </w:r>
      <w:r>
        <w:rPr>
          <w:color w:val="auto"/>
        </w:rPr>
        <w:fldChar w:fldCharType="end"/>
      </w:r>
    </w:p>
    <w:p>
      <w:pPr>
        <w:pStyle w:val="19"/>
        <w:tabs>
          <w:tab w:val="right" w:leader="dot" w:pos="9354"/>
        </w:tabs>
        <w:rPr>
          <w:color w:val="auto"/>
        </w:rPr>
      </w:pPr>
      <w:r>
        <w:rPr>
          <w:rFonts w:hint="eastAsia"/>
          <w:color w:val="auto"/>
          <w:lang w:val="en-US" w:eastAsia="zh-CN"/>
        </w:rPr>
        <w:t>附录B</w:t>
      </w:r>
      <w:r>
        <w:rPr>
          <w:color w:val="auto"/>
        </w:rPr>
        <w:fldChar w:fldCharType="begin"/>
      </w:r>
      <w:r>
        <w:rPr>
          <w:color w:val="auto"/>
        </w:rPr>
        <w:instrText xml:space="preserve"> HYPERLINK \l _Toc4370 </w:instrText>
      </w:r>
      <w:r>
        <w:rPr>
          <w:color w:val="auto"/>
        </w:rPr>
        <w:fldChar w:fldCharType="separate"/>
      </w:r>
      <w:r>
        <w:rPr>
          <w:rFonts w:hint="eastAsia"/>
          <w:color w:val="auto"/>
          <w:highlight w:val="none"/>
        </w:rPr>
        <w:t>（</w:t>
      </w:r>
      <w:r>
        <w:rPr>
          <w:rFonts w:hint="eastAsia"/>
          <w:color w:val="auto"/>
          <w:highlight w:val="none"/>
          <w:lang w:val="en-US" w:eastAsia="zh-CN"/>
        </w:rPr>
        <w:t>规范</w:t>
      </w:r>
      <w:r>
        <w:rPr>
          <w:rFonts w:hint="eastAsia"/>
          <w:color w:val="auto"/>
          <w:highlight w:val="none"/>
        </w:rPr>
        <w:t>性）非同步电子交互审理流程</w:t>
      </w:r>
      <w:r>
        <w:rPr>
          <w:color w:val="auto"/>
        </w:rPr>
        <w:tab/>
      </w:r>
      <w:r>
        <w:rPr>
          <w:color w:val="auto"/>
        </w:rPr>
        <w:fldChar w:fldCharType="begin"/>
      </w:r>
      <w:r>
        <w:rPr>
          <w:color w:val="auto"/>
        </w:rPr>
        <w:instrText xml:space="preserve"> PAGEREF _Toc4370 \h </w:instrText>
      </w:r>
      <w:r>
        <w:rPr>
          <w:color w:val="auto"/>
        </w:rPr>
        <w:fldChar w:fldCharType="separate"/>
      </w:r>
      <w:r>
        <w:rPr>
          <w:color w:val="auto"/>
        </w:rPr>
        <w:t>14</w:t>
      </w:r>
      <w:r>
        <w:rPr>
          <w:color w:val="auto"/>
        </w:rPr>
        <w:fldChar w:fldCharType="end"/>
      </w:r>
      <w:r>
        <w:rPr>
          <w:color w:val="auto"/>
        </w:rPr>
        <w:fldChar w:fldCharType="end"/>
      </w:r>
    </w:p>
    <w:p>
      <w:pPr>
        <w:pStyle w:val="19"/>
        <w:tabs>
          <w:tab w:val="right" w:leader="dot" w:pos="9354"/>
        </w:tabs>
        <w:rPr>
          <w:color w:val="auto"/>
        </w:rPr>
      </w:pPr>
      <w:r>
        <w:rPr>
          <w:color w:val="auto"/>
        </w:rPr>
        <w:fldChar w:fldCharType="begin"/>
      </w:r>
      <w:r>
        <w:rPr>
          <w:color w:val="auto"/>
        </w:rPr>
        <w:instrText xml:space="preserve"> HYPERLINK \l _Toc10675 </w:instrText>
      </w:r>
      <w:r>
        <w:rPr>
          <w:color w:val="auto"/>
        </w:rPr>
        <w:fldChar w:fldCharType="separate"/>
      </w:r>
      <w:r>
        <w:rPr>
          <w:rFonts w:hint="eastAsia"/>
          <w:color w:val="auto"/>
          <w:lang w:val="en-US" w:eastAsia="zh-CN"/>
        </w:rPr>
        <w:t>附录C</w:t>
      </w:r>
      <w:r>
        <w:rPr>
          <w:rFonts w:hint="eastAsia"/>
          <w:color w:val="auto"/>
          <w:highlight w:val="none"/>
        </w:rPr>
        <w:t>（</w:t>
      </w:r>
      <w:r>
        <w:rPr>
          <w:rFonts w:hint="eastAsia"/>
          <w:color w:val="auto"/>
          <w:highlight w:val="none"/>
          <w:lang w:val="en-US" w:eastAsia="zh-CN"/>
        </w:rPr>
        <w:t>规范</w:t>
      </w:r>
      <w:r>
        <w:rPr>
          <w:rFonts w:hint="eastAsia"/>
          <w:color w:val="auto"/>
          <w:highlight w:val="none"/>
        </w:rPr>
        <w:t>性）同步</w:t>
      </w:r>
      <w:r>
        <w:rPr>
          <w:rFonts w:hint="eastAsia"/>
          <w:color w:val="auto"/>
          <w:highlight w:val="none"/>
          <w:lang w:val="en-US" w:eastAsia="zh-CN"/>
        </w:rPr>
        <w:t>视频</w:t>
      </w:r>
      <w:r>
        <w:rPr>
          <w:rFonts w:hint="eastAsia"/>
          <w:color w:val="auto"/>
          <w:highlight w:val="none"/>
        </w:rPr>
        <w:t>审理流程</w:t>
      </w:r>
      <w:r>
        <w:rPr>
          <w:color w:val="auto"/>
        </w:rPr>
        <w:tab/>
      </w:r>
      <w:r>
        <w:rPr>
          <w:color w:val="auto"/>
        </w:rPr>
        <w:fldChar w:fldCharType="begin"/>
      </w:r>
      <w:r>
        <w:rPr>
          <w:color w:val="auto"/>
        </w:rPr>
        <w:instrText xml:space="preserve"> PAGEREF _Toc10675 \h </w:instrText>
      </w:r>
      <w:r>
        <w:rPr>
          <w:color w:val="auto"/>
        </w:rPr>
        <w:fldChar w:fldCharType="separate"/>
      </w:r>
      <w:r>
        <w:rPr>
          <w:color w:val="auto"/>
        </w:rPr>
        <w:t>16</w:t>
      </w:r>
      <w:r>
        <w:rPr>
          <w:color w:val="auto"/>
        </w:rPr>
        <w:fldChar w:fldCharType="end"/>
      </w:r>
      <w:r>
        <w:rPr>
          <w:color w:val="auto"/>
        </w:rPr>
        <w:fldChar w:fldCharType="end"/>
      </w:r>
    </w:p>
    <w:p>
      <w:pPr>
        <w:pStyle w:val="91"/>
        <w:spacing w:after="468"/>
        <w:rPr>
          <w:color w:val="auto"/>
        </w:rPr>
        <w:sectPr>
          <w:headerReference r:id="rId9" w:type="default"/>
          <w:footerReference r:id="rId11" w:type="default"/>
          <w:headerReference r:id="rId10" w:type="even"/>
          <w:pgSz w:w="11906" w:h="16838"/>
          <w:pgMar w:top="1928" w:right="1134" w:bottom="1134" w:left="1134" w:header="1418" w:footer="1134" w:gutter="284"/>
          <w:pgNumType w:fmt="upperRoman" w:start="1"/>
          <w:cols w:space="425" w:num="1"/>
          <w:formProt w:val="0"/>
          <w:docGrid w:type="lines" w:linePitch="312" w:charSpace="0"/>
        </w:sectPr>
      </w:pPr>
      <w:r>
        <w:rPr>
          <w:color w:val="auto"/>
        </w:rPr>
        <w:fldChar w:fldCharType="end"/>
      </w:r>
    </w:p>
    <w:bookmarkEnd w:id="12"/>
    <w:p>
      <w:pPr>
        <w:pStyle w:val="89"/>
        <w:spacing w:after="468"/>
        <w:rPr>
          <w:color w:val="auto"/>
        </w:rPr>
      </w:pPr>
      <w:bookmarkStart w:id="14" w:name="_Toc11439"/>
      <w:bookmarkStart w:id="15" w:name="BookMark2"/>
      <w:r>
        <w:rPr>
          <w:color w:val="auto"/>
          <w:spacing w:val="320"/>
        </w:rPr>
        <w:t>前</w:t>
      </w:r>
      <w:r>
        <w:rPr>
          <w:color w:val="auto"/>
        </w:rPr>
        <w:t>言</w:t>
      </w:r>
      <w:bookmarkEnd w:id="13"/>
      <w:bookmarkEnd w:id="14"/>
    </w:p>
    <w:p>
      <w:pPr>
        <w:pStyle w:val="56"/>
        <w:ind w:firstLine="420"/>
        <w:rPr>
          <w:color w:val="auto"/>
        </w:rPr>
      </w:pPr>
      <w:r>
        <w:rPr>
          <w:rFonts w:hint="eastAsia"/>
          <w:color w:val="auto"/>
        </w:rPr>
        <w:t>本文件按照GB/T 1.1—2020《标准化工作导则  第1部分：标准化文件的结构和起草规则》的规定起草。</w:t>
      </w:r>
    </w:p>
    <w:p>
      <w:pPr>
        <w:pStyle w:val="56"/>
        <w:ind w:firstLine="420"/>
        <w:rPr>
          <w:color w:val="auto"/>
        </w:rPr>
      </w:pPr>
    </w:p>
    <w:p>
      <w:pPr>
        <w:pStyle w:val="56"/>
        <w:ind w:firstLine="420"/>
        <w:rPr>
          <w:color w:val="auto"/>
        </w:rPr>
      </w:pPr>
      <w:r>
        <w:rPr>
          <w:rFonts w:hint="eastAsia"/>
          <w:color w:val="auto"/>
        </w:rPr>
        <w:t>本文件由武汉仲裁与调解促进会提出。</w:t>
      </w:r>
    </w:p>
    <w:p>
      <w:pPr>
        <w:pStyle w:val="56"/>
        <w:ind w:firstLine="420"/>
        <w:rPr>
          <w:color w:val="auto"/>
        </w:rPr>
      </w:pPr>
      <w:r>
        <w:rPr>
          <w:rFonts w:hint="eastAsia"/>
          <w:color w:val="auto"/>
        </w:rPr>
        <w:t>本文件由武汉仲裁</w:t>
      </w:r>
      <w:r>
        <w:rPr>
          <w:rFonts w:hint="eastAsia"/>
          <w:color w:val="auto"/>
          <w:lang w:val="en-US" w:eastAsia="zh-CN"/>
        </w:rPr>
        <w:t>委员会办公室</w:t>
      </w:r>
      <w:r>
        <w:rPr>
          <w:rFonts w:hint="eastAsia"/>
          <w:color w:val="auto"/>
        </w:rPr>
        <w:t>归口。</w:t>
      </w:r>
    </w:p>
    <w:p>
      <w:pPr>
        <w:pStyle w:val="56"/>
        <w:ind w:firstLine="420"/>
        <w:rPr>
          <w:color w:val="auto"/>
        </w:rPr>
      </w:pPr>
      <w:r>
        <w:rPr>
          <w:rFonts w:hint="eastAsia"/>
          <w:color w:val="auto"/>
        </w:rPr>
        <w:t>本文件起草单位：</w:t>
      </w:r>
      <w:r>
        <w:rPr>
          <w:rFonts w:hint="eastAsia"/>
          <w:color w:val="auto"/>
          <w:lang w:val="en-US" w:eastAsia="zh-CN"/>
        </w:rPr>
        <w:t>武汉仲裁委员会办公室</w:t>
      </w:r>
      <w:r>
        <w:rPr>
          <w:rFonts w:hint="eastAsia"/>
          <w:color w:val="auto"/>
        </w:rPr>
        <w:t>、武汉仲裁与调解促进会。</w:t>
      </w:r>
    </w:p>
    <w:p>
      <w:pPr>
        <w:pStyle w:val="56"/>
        <w:ind w:firstLine="420"/>
        <w:rPr>
          <w:color w:val="auto"/>
        </w:rPr>
      </w:pPr>
      <w:r>
        <w:rPr>
          <w:rFonts w:hint="eastAsia"/>
          <w:color w:val="auto"/>
        </w:rPr>
        <w:t>本文件主要起草人：</w:t>
      </w:r>
      <w:r>
        <w:rPr>
          <w:rFonts w:hint="eastAsia"/>
          <w:color w:val="auto"/>
          <w:lang w:val="en-US" w:eastAsia="zh-CN"/>
        </w:rPr>
        <w:t>母洪春、尹秀莉、何倩</w:t>
      </w:r>
      <w:r>
        <w:rPr>
          <w:rFonts w:hint="eastAsia"/>
          <w:color w:val="auto"/>
        </w:rPr>
        <w:t>。</w:t>
      </w:r>
    </w:p>
    <w:p>
      <w:pPr>
        <w:pStyle w:val="56"/>
        <w:ind w:firstLine="420"/>
        <w:rPr>
          <w:color w:val="auto"/>
        </w:rPr>
      </w:pPr>
    </w:p>
    <w:p>
      <w:pPr>
        <w:pStyle w:val="56"/>
        <w:ind w:firstLine="420"/>
        <w:rPr>
          <w:color w:val="auto"/>
        </w:rPr>
        <w:sectPr>
          <w:pgSz w:w="11906" w:h="16838"/>
          <w:pgMar w:top="1928" w:right="1134" w:bottom="1134" w:left="1134" w:header="1418" w:footer="1134" w:gutter="284"/>
          <w:pgNumType w:fmt="upperRoman"/>
          <w:cols w:space="425" w:num="1"/>
          <w:formProt w:val="0"/>
          <w:docGrid w:type="lines" w:linePitch="312" w:charSpace="0"/>
        </w:sectPr>
      </w:pPr>
    </w:p>
    <w:bookmarkEnd w:id="15"/>
    <w:p>
      <w:pPr>
        <w:spacing w:line="20" w:lineRule="exact"/>
        <w:jc w:val="center"/>
        <w:rPr>
          <w:rFonts w:ascii="黑体" w:hAnsi="黑体" w:eastAsia="黑体"/>
          <w:color w:val="auto"/>
          <w:sz w:val="32"/>
          <w:szCs w:val="32"/>
        </w:rPr>
      </w:pPr>
      <w:bookmarkStart w:id="16" w:name="BookMark4"/>
    </w:p>
    <w:p>
      <w:pPr>
        <w:spacing w:line="20" w:lineRule="exact"/>
        <w:jc w:val="center"/>
        <w:rPr>
          <w:rFonts w:ascii="黑体" w:hAnsi="黑体" w:eastAsia="黑体"/>
          <w:color w:val="auto"/>
          <w:sz w:val="32"/>
          <w:szCs w:val="32"/>
        </w:rPr>
      </w:pPr>
    </w:p>
    <w:sdt>
      <w:sdtPr>
        <w:rPr>
          <w:rFonts w:hint="default"/>
          <w:color w:val="auto"/>
          <w:lang w:val="en-US"/>
        </w:rPr>
        <w:tag w:val="NEW_STAND_NAME"/>
        <w:id w:val="595910757"/>
        <w:lock w:val="sdtLocked"/>
        <w:placeholder>
          <w:docPart w:val="EE270FE93A2F4319828ECE77788D8805"/>
        </w:placeholder>
      </w:sdtPr>
      <w:sdtEndPr>
        <w:rPr>
          <w:rFonts w:hint="default"/>
          <w:color w:val="auto"/>
          <w:lang w:val="en-US"/>
        </w:rPr>
      </w:sdtEndPr>
      <w:sdtContent>
        <w:p>
          <w:pPr>
            <w:pStyle w:val="177"/>
            <w:spacing w:before="312" w:beforeLines="100" w:after="686" w:afterLines="220"/>
            <w:rPr>
              <w:color w:val="auto"/>
            </w:rPr>
          </w:pPr>
          <w:bookmarkStart w:id="17" w:name="NEW_STAND_NAME"/>
          <w:r>
            <w:rPr>
              <w:rFonts w:hint="eastAsia"/>
              <w:color w:val="auto"/>
              <w:lang w:val="en-US" w:eastAsia="zh-CN"/>
            </w:rPr>
            <w:t>网上仲裁</w:t>
          </w:r>
          <w:r>
            <w:rPr>
              <w:rFonts w:hint="eastAsia"/>
              <w:color w:val="auto"/>
            </w:rPr>
            <w:t>服务规范</w:t>
          </w:r>
        </w:p>
      </w:sdtContent>
    </w:sdt>
    <w:bookmarkEnd w:id="16"/>
    <w:bookmarkEnd w:id="17"/>
    <w:p>
      <w:pPr>
        <w:pStyle w:val="104"/>
        <w:spacing w:before="312" w:after="312"/>
        <w:rPr>
          <w:rFonts w:hint="eastAsia"/>
          <w:color w:val="auto"/>
          <w:szCs w:val="21"/>
        </w:rPr>
      </w:pPr>
      <w:bookmarkStart w:id="18" w:name="_Toc73111597"/>
      <w:bookmarkStart w:id="19" w:name="_Toc25233"/>
      <w:bookmarkStart w:id="20" w:name="_Toc4983"/>
      <w:r>
        <w:rPr>
          <w:rFonts w:hint="eastAsia"/>
          <w:color w:val="auto"/>
          <w:szCs w:val="21"/>
        </w:rPr>
        <w:t>范围</w:t>
      </w:r>
      <w:bookmarkEnd w:id="18"/>
      <w:bookmarkEnd w:id="19"/>
      <w:bookmarkEnd w:id="20"/>
    </w:p>
    <w:p>
      <w:pPr>
        <w:pStyle w:val="231"/>
        <w:ind w:firstLine="420"/>
        <w:outlineLvl w:val="9"/>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本标准</w:t>
      </w:r>
      <w:r>
        <w:rPr>
          <w:rFonts w:hint="eastAsia" w:cs="Times New Roman"/>
          <w:color w:val="auto"/>
          <w:sz w:val="21"/>
          <w:lang w:val="en-US" w:eastAsia="zh-CN" w:bidi="ar-SA"/>
        </w:rPr>
        <w:t>规定了网上仲裁服务的人员要求、技术要求、服务要求等</w:t>
      </w:r>
      <w:r>
        <w:rPr>
          <w:rFonts w:hint="eastAsia" w:ascii="宋体" w:hAnsi="Times New Roman" w:eastAsia="宋体" w:cs="Times New Roman"/>
          <w:color w:val="auto"/>
          <w:sz w:val="21"/>
          <w:lang w:val="en-US" w:eastAsia="zh-CN" w:bidi="ar-SA"/>
        </w:rPr>
        <w:t>。</w:t>
      </w:r>
    </w:p>
    <w:p>
      <w:pPr>
        <w:pStyle w:val="231"/>
        <w:ind w:firstLine="420"/>
        <w:outlineLvl w:val="9"/>
        <w:rPr>
          <w:rFonts w:hint="default"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本标准适用于武汉市</w:t>
      </w:r>
      <w:r>
        <w:rPr>
          <w:rFonts w:hint="eastAsia" w:cs="Times New Roman"/>
          <w:color w:val="auto"/>
          <w:sz w:val="21"/>
          <w:lang w:val="en-US" w:eastAsia="zh-CN" w:bidi="ar-SA"/>
        </w:rPr>
        <w:t>以</w:t>
      </w:r>
      <w:r>
        <w:rPr>
          <w:rFonts w:hint="eastAsia" w:ascii="宋体" w:hAnsi="Times New Roman" w:eastAsia="宋体" w:cs="Times New Roman"/>
          <w:color w:val="auto"/>
          <w:sz w:val="21"/>
          <w:lang w:val="en-US" w:eastAsia="zh-CN" w:bidi="ar-SA"/>
        </w:rPr>
        <w:t>网上</w:t>
      </w:r>
      <w:r>
        <w:rPr>
          <w:rFonts w:hint="eastAsia" w:cs="Times New Roman"/>
          <w:color w:val="auto"/>
          <w:sz w:val="21"/>
          <w:lang w:val="en-US" w:eastAsia="zh-CN" w:bidi="ar-SA"/>
        </w:rPr>
        <w:t>仲裁方式受理和解决民商争议的</w:t>
      </w:r>
      <w:r>
        <w:rPr>
          <w:rFonts w:hint="eastAsia" w:ascii="宋体" w:hAnsi="Times New Roman" w:eastAsia="宋体" w:cs="Times New Roman"/>
          <w:color w:val="auto"/>
          <w:sz w:val="21"/>
          <w:lang w:val="en-US" w:eastAsia="zh-CN" w:bidi="ar-SA"/>
        </w:rPr>
        <w:t>仲裁</w:t>
      </w:r>
      <w:r>
        <w:rPr>
          <w:rFonts w:hint="eastAsia" w:cs="Times New Roman"/>
          <w:color w:val="auto"/>
          <w:sz w:val="21"/>
          <w:lang w:val="en-US" w:eastAsia="zh-CN" w:bidi="ar-SA"/>
        </w:rPr>
        <w:t>案件</w:t>
      </w:r>
      <w:r>
        <w:rPr>
          <w:rFonts w:hint="eastAsia" w:ascii="宋体" w:hAnsi="Times New Roman" w:eastAsia="宋体" w:cs="Times New Roman"/>
          <w:color w:val="auto"/>
          <w:sz w:val="21"/>
          <w:lang w:val="en-US" w:eastAsia="zh-CN" w:bidi="ar-SA"/>
        </w:rPr>
        <w:t>办</w:t>
      </w:r>
      <w:r>
        <w:rPr>
          <w:rFonts w:hint="eastAsia" w:cs="Times New Roman"/>
          <w:color w:val="auto"/>
          <w:sz w:val="21"/>
          <w:lang w:val="en-US" w:eastAsia="zh-CN" w:bidi="ar-SA"/>
        </w:rPr>
        <w:t>理</w:t>
      </w:r>
      <w:r>
        <w:rPr>
          <w:rFonts w:hint="eastAsia" w:ascii="宋体" w:hAnsi="Times New Roman" w:eastAsia="宋体" w:cs="Times New Roman"/>
          <w:color w:val="auto"/>
          <w:sz w:val="21"/>
          <w:lang w:val="en-US" w:eastAsia="zh-CN" w:bidi="ar-SA"/>
        </w:rPr>
        <w:t>及服务工作</w:t>
      </w:r>
      <w:r>
        <w:rPr>
          <w:rFonts w:hint="eastAsia" w:cs="Times New Roman"/>
          <w:color w:val="auto"/>
          <w:sz w:val="21"/>
          <w:lang w:val="en-US" w:eastAsia="zh-CN" w:bidi="ar-SA"/>
        </w:rPr>
        <w:t>，不适用劳动人事争议案件。</w:t>
      </w:r>
    </w:p>
    <w:p>
      <w:pPr>
        <w:pStyle w:val="104"/>
        <w:spacing w:before="312" w:after="312"/>
        <w:rPr>
          <w:rFonts w:hint="eastAsia" w:hAnsi="Times New Roman" w:cs="Times New Roman"/>
          <w:color w:val="auto"/>
          <w:szCs w:val="21"/>
        </w:rPr>
      </w:pPr>
      <w:bookmarkStart w:id="21" w:name="_Toc9472"/>
      <w:bookmarkStart w:id="22" w:name="_Toc20281"/>
      <w:bookmarkStart w:id="23" w:name="_Toc73111598"/>
      <w:r>
        <w:rPr>
          <w:rFonts w:hint="eastAsia" w:hAnsi="Times New Roman" w:cs="Times New Roman"/>
          <w:color w:val="auto"/>
          <w:szCs w:val="21"/>
        </w:rPr>
        <w:t>规范性引用文件</w:t>
      </w:r>
      <w:bookmarkEnd w:id="21"/>
      <w:bookmarkEnd w:id="22"/>
      <w:bookmarkEnd w:id="23"/>
    </w:p>
    <w:p>
      <w:pPr>
        <w:pStyle w:val="231"/>
        <w:ind w:firstLine="420"/>
        <w:outlineLvl w:val="9"/>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下列文件中的内容通过文中的规范性引用而构成本文件必不可少的</w:t>
      </w:r>
      <w:bookmarkStart w:id="119" w:name="_GoBack"/>
      <w:bookmarkEnd w:id="119"/>
      <w:r>
        <w:rPr>
          <w:rFonts w:hint="eastAsia" w:ascii="宋体" w:hAnsi="Times New Roman" w:eastAsia="宋体" w:cs="Times New Roman"/>
          <w:color w:val="auto"/>
          <w:sz w:val="21"/>
          <w:lang w:val="en-US" w:eastAsia="zh-CN" w:bidi="ar-SA"/>
        </w:rPr>
        <w:t>条款。其中，注日期的引用文件，仅该日期对应的版本适用于本文件；不注日期的引用文件，其最新版本（包括所有的修改单）适用于本文件。</w:t>
      </w:r>
    </w:p>
    <w:p>
      <w:pPr>
        <w:pStyle w:val="231"/>
        <w:ind w:firstLine="420"/>
        <w:outlineLvl w:val="9"/>
        <w:rPr>
          <w:rFonts w:hint="default"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GB/T 21061  国家电子政务网络技术和运行管理规范</w:t>
      </w:r>
    </w:p>
    <w:p>
      <w:pPr>
        <w:pStyle w:val="104"/>
        <w:spacing w:before="312" w:after="312"/>
        <w:rPr>
          <w:rFonts w:hint="eastAsia" w:hAnsi="Times New Roman" w:cs="Times New Roman"/>
          <w:color w:val="auto"/>
          <w:szCs w:val="21"/>
        </w:rPr>
      </w:pPr>
      <w:bookmarkStart w:id="24" w:name="_Toc388"/>
      <w:bookmarkStart w:id="25" w:name="_Toc73111599"/>
      <w:bookmarkStart w:id="26" w:name="_Toc4584"/>
      <w:r>
        <w:rPr>
          <w:rFonts w:hint="eastAsia" w:hAnsi="Times New Roman" w:cs="Times New Roman"/>
          <w:color w:val="auto"/>
          <w:szCs w:val="21"/>
        </w:rPr>
        <w:t>术语和定义</w:t>
      </w:r>
      <w:bookmarkEnd w:id="24"/>
      <w:bookmarkEnd w:id="25"/>
      <w:bookmarkEnd w:id="26"/>
    </w:p>
    <w:p>
      <w:pPr>
        <w:pStyle w:val="223"/>
        <w:ind w:left="420" w:hanging="420" w:hangingChars="200"/>
        <w:rPr>
          <w:rFonts w:ascii="黑体" w:hAnsi="黑体" w:eastAsia="黑体"/>
          <w:color w:val="auto"/>
        </w:rPr>
      </w:pPr>
      <w:bookmarkStart w:id="27" w:name="_Toc18576"/>
    </w:p>
    <w:p>
      <w:pPr>
        <w:pStyle w:val="230"/>
        <w:numPr>
          <w:ilvl w:val="1"/>
          <w:numId w:val="0"/>
        </w:numPr>
        <w:ind w:left="420" w:leftChars="0"/>
        <w:outlineLvl w:val="9"/>
        <w:rPr>
          <w:rFonts w:hint="eastAsia"/>
          <w:color w:val="auto"/>
          <w:highlight w:val="none"/>
          <w:lang w:val="en-US" w:eastAsia="zh-CN"/>
        </w:rPr>
      </w:pPr>
      <w:r>
        <w:rPr>
          <w:rFonts w:hint="eastAsia"/>
          <w:color w:val="auto"/>
          <w:highlight w:val="none"/>
          <w:lang w:val="en-US" w:eastAsia="zh-CN"/>
        </w:rPr>
        <w:t>仲裁 arbitration</w:t>
      </w:r>
    </w:p>
    <w:p>
      <w:pPr>
        <w:pStyle w:val="56"/>
        <w:rPr>
          <w:rFonts w:hint="default" w:ascii="宋体" w:hAnsi="Times New Roman" w:eastAsia="宋体" w:cs="Times New Roman"/>
          <w:color w:val="auto"/>
          <w:sz w:val="21"/>
          <w:lang w:val="en-US" w:eastAsia="zh-CN" w:bidi="ar-SA"/>
        </w:rPr>
      </w:pPr>
      <w:r>
        <w:rPr>
          <w:rFonts w:hint="eastAsia" w:cs="Times New Roman"/>
          <w:color w:val="auto"/>
          <w:sz w:val="21"/>
          <w:lang w:val="en-US" w:eastAsia="zh-CN" w:bidi="ar-SA"/>
        </w:rPr>
        <w:t>商事</w:t>
      </w:r>
      <w:r>
        <w:rPr>
          <w:rFonts w:hint="eastAsia" w:ascii="宋体" w:hAnsi="Times New Roman" w:eastAsia="宋体" w:cs="Times New Roman"/>
          <w:color w:val="auto"/>
          <w:sz w:val="21"/>
          <w:lang w:val="en-US" w:eastAsia="zh-CN" w:bidi="ar-SA"/>
        </w:rPr>
        <w:t>仲裁受理平等主体的公民、法人和其他组织之间发生的合同纠纷和其他财产权益纠纷。婚姻、收养、监护、扶养、继承纠纷</w:t>
      </w:r>
      <w:r>
        <w:rPr>
          <w:rFonts w:hint="eastAsia" w:cs="Times New Roman"/>
          <w:color w:val="auto"/>
          <w:sz w:val="21"/>
          <w:lang w:val="en-US" w:eastAsia="zh-CN" w:bidi="ar-SA"/>
        </w:rPr>
        <w:t>以及</w:t>
      </w:r>
      <w:r>
        <w:rPr>
          <w:rFonts w:hint="eastAsia" w:ascii="宋体" w:hAnsi="Times New Roman" w:eastAsia="宋体" w:cs="Times New Roman"/>
          <w:color w:val="auto"/>
          <w:sz w:val="21"/>
          <w:lang w:val="en-US" w:eastAsia="zh-CN" w:bidi="ar-SA"/>
        </w:rPr>
        <w:t>依法应当由行政机关处理的行政争议</w:t>
      </w:r>
      <w:r>
        <w:rPr>
          <w:rFonts w:hint="eastAsia" w:cs="Times New Roman"/>
          <w:color w:val="auto"/>
          <w:sz w:val="21"/>
          <w:lang w:val="en-US" w:eastAsia="zh-CN" w:bidi="ar-SA"/>
        </w:rPr>
        <w:t>不能仲裁。</w:t>
      </w:r>
    </w:p>
    <w:p>
      <w:pPr>
        <w:pStyle w:val="223"/>
        <w:ind w:left="420" w:hanging="420" w:hangingChars="200"/>
        <w:rPr>
          <w:rFonts w:ascii="黑体" w:hAnsi="黑体" w:eastAsia="黑体"/>
          <w:color w:val="auto"/>
        </w:rPr>
      </w:pPr>
    </w:p>
    <w:p>
      <w:pPr>
        <w:pStyle w:val="230"/>
        <w:numPr>
          <w:ilvl w:val="1"/>
          <w:numId w:val="0"/>
        </w:numPr>
        <w:ind w:left="420" w:leftChars="0"/>
        <w:outlineLvl w:val="9"/>
        <w:rPr>
          <w:color w:val="auto"/>
          <w:highlight w:val="none"/>
        </w:rPr>
      </w:pPr>
      <w:r>
        <w:rPr>
          <w:rFonts w:hint="eastAsia"/>
          <w:color w:val="auto"/>
          <w:highlight w:val="none"/>
          <w:lang w:val="en-US" w:eastAsia="zh-CN"/>
        </w:rPr>
        <w:t>网上仲裁 online arbitration</w:t>
      </w:r>
    </w:p>
    <w:p>
      <w:pPr>
        <w:pStyle w:val="231"/>
        <w:ind w:firstLine="420"/>
        <w:outlineLvl w:val="9"/>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网上仲裁指通过互联网进行仲裁的争议解决方式。</w:t>
      </w:r>
    </w:p>
    <w:p>
      <w:pPr>
        <w:pStyle w:val="223"/>
        <w:ind w:left="420" w:hanging="420" w:hangingChars="200"/>
        <w:rPr>
          <w:rFonts w:ascii="黑体" w:hAnsi="黑体" w:eastAsia="黑体"/>
          <w:color w:val="auto"/>
        </w:rPr>
      </w:pPr>
      <w:bookmarkStart w:id="28" w:name="_Toc4251"/>
    </w:p>
    <w:p>
      <w:pPr>
        <w:pStyle w:val="230"/>
        <w:numPr>
          <w:ilvl w:val="1"/>
          <w:numId w:val="0"/>
        </w:numPr>
        <w:ind w:left="420" w:leftChars="0"/>
        <w:outlineLvl w:val="9"/>
        <w:rPr>
          <w:color w:val="auto"/>
          <w:highlight w:val="none"/>
        </w:rPr>
      </w:pPr>
      <w:r>
        <w:rPr>
          <w:color w:val="auto"/>
          <w:highlight w:val="none"/>
        </w:rPr>
        <w:t xml:space="preserve"> </w:t>
      </w:r>
      <w:r>
        <w:rPr>
          <w:rFonts w:hint="eastAsia"/>
          <w:color w:val="auto"/>
          <w:highlight w:val="none"/>
          <w:lang w:val="en-US" w:eastAsia="zh-CN"/>
        </w:rPr>
        <w:t>网上仲裁系统 online arbitration system</w:t>
      </w:r>
      <w:bookmarkEnd w:id="28"/>
    </w:p>
    <w:p>
      <w:pPr>
        <w:pStyle w:val="231"/>
        <w:ind w:firstLine="420"/>
        <w:outlineLvl w:val="9"/>
        <w:rPr>
          <w:rFonts w:hint="eastAsia"/>
          <w:color w:val="auto"/>
          <w:highlight w:val="none"/>
          <w:lang w:val="en-US" w:eastAsia="zh-CN"/>
        </w:rPr>
      </w:pPr>
      <w:r>
        <w:rPr>
          <w:rFonts w:hint="eastAsia" w:ascii="宋体" w:hAnsi="Times New Roman" w:eastAsia="宋体" w:cs="Times New Roman"/>
          <w:color w:val="auto"/>
          <w:highlight w:val="none"/>
        </w:rPr>
        <w:t>网上仲裁过程中使用的系统，包括软件系统、硬件系统、信息与互联网服务、运行规范等在内的综合体系。</w:t>
      </w:r>
    </w:p>
    <w:p>
      <w:pPr>
        <w:pStyle w:val="223"/>
        <w:ind w:left="420" w:hanging="420" w:hangingChars="200"/>
        <w:rPr>
          <w:rFonts w:hint="eastAsia" w:hAnsi="Times New Roman" w:cs="Times New Roman"/>
          <w:color w:val="auto"/>
          <w:highlight w:val="none"/>
          <w:lang w:val="en-US" w:eastAsia="zh-CN"/>
        </w:rPr>
      </w:pPr>
      <w:r>
        <w:rPr>
          <w:rFonts w:hint="eastAsia" w:ascii="黑体" w:hAnsi="黑体" w:eastAsia="黑体" w:cs="Times New Roman"/>
          <w:color w:val="auto"/>
          <w:sz w:val="21"/>
          <w:szCs w:val="20"/>
          <w:lang w:val="en-US" w:eastAsia="zh-CN" w:bidi="ar-SA"/>
        </w:rPr>
        <w:t xml:space="preserve"> </w:t>
      </w:r>
      <w:r>
        <w:rPr>
          <w:rFonts w:hint="eastAsia"/>
          <w:color w:val="auto"/>
          <w:highlight w:val="none"/>
        </w:rPr>
        <w:t xml:space="preserve">   </w:t>
      </w:r>
      <w:bookmarkStart w:id="29" w:name="_Toc1649"/>
      <w:bookmarkEnd w:id="29"/>
    </w:p>
    <w:p>
      <w:pPr>
        <w:pStyle w:val="239"/>
        <w:numPr>
          <w:ilvl w:val="1"/>
          <w:numId w:val="0"/>
        </w:numPr>
        <w:ind w:leftChars="0" w:firstLine="420" w:firstLineChars="200"/>
        <w:outlineLvl w:val="9"/>
        <w:rPr>
          <w:rFonts w:hint="eastAsia" w:hAnsi="Times New Roman" w:cs="Times New Roman"/>
          <w:color w:val="auto"/>
          <w:highlight w:val="none"/>
        </w:rPr>
      </w:pPr>
      <w:r>
        <w:rPr>
          <w:rFonts w:hint="eastAsia" w:hAnsi="Times New Roman" w:cs="Times New Roman"/>
          <w:color w:val="auto"/>
          <w:highlight w:val="none"/>
          <w:lang w:val="en-US" w:eastAsia="zh-CN"/>
        </w:rPr>
        <w:t>网上仲裁云平台</w:t>
      </w:r>
      <w:r>
        <w:rPr>
          <w:rFonts w:hint="eastAsia" w:cs="Times New Roman"/>
          <w:color w:val="auto"/>
          <w:highlight w:val="none"/>
          <w:lang w:val="en-US" w:eastAsia="zh-CN"/>
        </w:rPr>
        <w:t xml:space="preserve"> </w:t>
      </w:r>
      <w:r>
        <w:rPr>
          <w:rFonts w:hint="eastAsia" w:hAnsi="Times New Roman" w:cs="Times New Roman"/>
          <w:color w:val="auto"/>
          <w:highlight w:val="none"/>
          <w:lang w:val="en-US" w:eastAsia="zh-CN"/>
        </w:rPr>
        <w:t>online arbitration cloud platform</w:t>
      </w:r>
    </w:p>
    <w:p>
      <w:pPr>
        <w:pStyle w:val="231"/>
        <w:ind w:firstLine="420"/>
        <w:outlineLvl w:val="9"/>
        <w:rPr>
          <w:rFonts w:hint="eastAsia" w:hAnsi="Times New Roman" w:cs="Times New Roman"/>
          <w:color w:val="auto"/>
          <w:highlight w:val="none"/>
          <w:lang w:val="en-US" w:eastAsia="zh-CN"/>
        </w:rPr>
      </w:pPr>
      <w:r>
        <w:rPr>
          <w:rFonts w:hint="eastAsia" w:ascii="宋体" w:hAnsi="Times New Roman" w:eastAsia="宋体" w:cs="Times New Roman"/>
          <w:color w:val="auto"/>
          <w:highlight w:val="none"/>
        </w:rPr>
        <w:t>基于网上仲裁工作开展需求，兼顾计算和数据存储处理的综合云计算平台。</w:t>
      </w:r>
      <w:r>
        <w:rPr>
          <w:rFonts w:hint="eastAsia"/>
          <w:color w:val="auto"/>
          <w:highlight w:val="none"/>
        </w:rPr>
        <w:t xml:space="preserve">    </w:t>
      </w:r>
    </w:p>
    <w:p>
      <w:pPr>
        <w:pStyle w:val="223"/>
        <w:ind w:left="420" w:hanging="420" w:hangingChars="200"/>
        <w:rPr>
          <w:rFonts w:ascii="黑体" w:hAnsi="黑体" w:eastAsia="黑体"/>
          <w:color w:val="auto"/>
        </w:rPr>
      </w:pPr>
    </w:p>
    <w:p>
      <w:pPr>
        <w:pStyle w:val="239"/>
        <w:numPr>
          <w:ilvl w:val="1"/>
          <w:numId w:val="0"/>
        </w:numPr>
        <w:ind w:leftChars="0" w:firstLine="420" w:firstLineChars="200"/>
        <w:outlineLvl w:val="9"/>
        <w:rPr>
          <w:rFonts w:hint="default" w:hAnsi="Times New Roman" w:cs="Times New Roman"/>
          <w:color w:val="auto"/>
          <w:highlight w:val="none"/>
          <w:lang w:val="en-US"/>
        </w:rPr>
      </w:pPr>
      <w:r>
        <w:rPr>
          <w:rFonts w:hint="eastAsia" w:cs="Times New Roman"/>
          <w:color w:val="auto"/>
          <w:highlight w:val="none"/>
          <w:lang w:val="en-US" w:eastAsia="zh-CN"/>
        </w:rPr>
        <w:t>电子数据</w:t>
      </w:r>
    </w:p>
    <w:p>
      <w:pPr>
        <w:pStyle w:val="231"/>
        <w:ind w:firstLine="420"/>
        <w:outlineLvl w:val="9"/>
        <w:rPr>
          <w:rFonts w:hint="eastAsia"/>
          <w:color w:val="auto"/>
          <w:highlight w:val="none"/>
        </w:rPr>
      </w:pPr>
      <w:r>
        <w:rPr>
          <w:rFonts w:hint="eastAsia"/>
          <w:color w:val="auto"/>
          <w:highlight w:val="none"/>
        </w:rPr>
        <w:t>形成或者存储在电子介质中的信息。电子数据包括但不限于下列信息、电子文件：</w:t>
      </w:r>
    </w:p>
    <w:p>
      <w:pPr>
        <w:pStyle w:val="231"/>
        <w:ind w:firstLine="420"/>
        <w:outlineLvl w:val="9"/>
        <w:rPr>
          <w:rFonts w:hint="eastAsia"/>
          <w:color w:val="auto"/>
          <w:highlight w:val="none"/>
        </w:rPr>
      </w:pPr>
      <w:r>
        <w:rPr>
          <w:rFonts w:hint="eastAsia"/>
          <w:color w:val="auto"/>
          <w:highlight w:val="none"/>
        </w:rPr>
        <w:t>1、网页、博客、微博客、朋友圈、贴吧、网盘等网络平台发布的信息；</w:t>
      </w:r>
    </w:p>
    <w:p>
      <w:pPr>
        <w:pStyle w:val="231"/>
        <w:ind w:firstLine="420"/>
        <w:outlineLvl w:val="9"/>
        <w:rPr>
          <w:rFonts w:hint="eastAsia"/>
          <w:color w:val="auto"/>
          <w:highlight w:val="none"/>
        </w:rPr>
      </w:pPr>
      <w:r>
        <w:rPr>
          <w:rFonts w:hint="eastAsia"/>
          <w:color w:val="auto"/>
          <w:highlight w:val="none"/>
        </w:rPr>
        <w:t>2、手机短信、电子邮件、即时通信、通讯群组等网络应用服务的通信信息；</w:t>
      </w:r>
    </w:p>
    <w:p>
      <w:pPr>
        <w:pStyle w:val="231"/>
        <w:ind w:firstLine="420"/>
        <w:outlineLvl w:val="9"/>
        <w:rPr>
          <w:rFonts w:hint="eastAsia"/>
          <w:color w:val="auto"/>
          <w:highlight w:val="none"/>
        </w:rPr>
      </w:pPr>
      <w:r>
        <w:rPr>
          <w:rFonts w:hint="eastAsia"/>
          <w:color w:val="auto"/>
          <w:highlight w:val="none"/>
        </w:rPr>
        <w:t>3、用户注册信息、身份认证信息、电子交易记录、通信记录、登录日志等信息；</w:t>
      </w:r>
    </w:p>
    <w:p>
      <w:pPr>
        <w:pStyle w:val="231"/>
        <w:ind w:firstLine="420"/>
        <w:outlineLvl w:val="9"/>
        <w:rPr>
          <w:rFonts w:hint="eastAsia" w:cs="Times New Roman"/>
          <w:color w:val="auto"/>
          <w:highlight w:val="none"/>
          <w:lang w:eastAsia="zh-CN"/>
        </w:rPr>
      </w:pPr>
      <w:r>
        <w:rPr>
          <w:rFonts w:hint="eastAsia"/>
          <w:color w:val="auto"/>
          <w:highlight w:val="none"/>
        </w:rPr>
        <w:t>4、文档、图片、音视频、数字证书、计算机程序等电子文件。</w:t>
      </w:r>
    </w:p>
    <w:p>
      <w:pPr>
        <w:pStyle w:val="223"/>
        <w:ind w:left="420" w:hanging="420" w:hangingChars="200"/>
        <w:rPr>
          <w:rFonts w:ascii="黑体" w:hAnsi="黑体" w:eastAsia="黑体"/>
          <w:color w:val="auto"/>
        </w:rPr>
      </w:pPr>
    </w:p>
    <w:p>
      <w:pPr>
        <w:pStyle w:val="239"/>
        <w:numPr>
          <w:ilvl w:val="1"/>
          <w:numId w:val="0"/>
        </w:numPr>
        <w:ind w:leftChars="0" w:firstLine="420" w:firstLineChars="200"/>
        <w:outlineLvl w:val="9"/>
        <w:rPr>
          <w:rFonts w:hint="default" w:hAnsi="Times New Roman" w:cs="Times New Roman"/>
          <w:color w:val="auto"/>
          <w:highlight w:val="none"/>
          <w:lang w:val="en-US"/>
        </w:rPr>
      </w:pPr>
      <w:r>
        <w:rPr>
          <w:rFonts w:hint="eastAsia" w:cs="Times New Roman"/>
          <w:color w:val="auto"/>
          <w:highlight w:val="none"/>
          <w:lang w:val="en-US" w:eastAsia="zh-CN"/>
        </w:rPr>
        <w:t>电子签名</w:t>
      </w:r>
    </w:p>
    <w:p>
      <w:pPr>
        <w:pStyle w:val="231"/>
        <w:ind w:firstLine="420"/>
        <w:outlineLvl w:val="9"/>
        <w:rPr>
          <w:rFonts w:hint="eastAsia"/>
          <w:color w:val="auto"/>
          <w:highlight w:val="none"/>
        </w:rPr>
      </w:pPr>
      <w:r>
        <w:rPr>
          <w:rFonts w:hint="eastAsia"/>
          <w:color w:val="auto"/>
          <w:highlight w:val="none"/>
        </w:rPr>
        <w:t>数据电文中以电子形式所含、所附用于识别签名人身份并表明签名人认可其中内容的数据。</w:t>
      </w:r>
    </w:p>
    <w:p>
      <w:pPr>
        <w:pStyle w:val="223"/>
        <w:ind w:left="420" w:hanging="420" w:hangingChars="200"/>
        <w:rPr>
          <w:rFonts w:ascii="黑体" w:hAnsi="黑体" w:eastAsia="黑体"/>
          <w:color w:val="auto"/>
        </w:rPr>
      </w:pPr>
    </w:p>
    <w:p>
      <w:pPr>
        <w:pStyle w:val="239"/>
        <w:numPr>
          <w:ilvl w:val="1"/>
          <w:numId w:val="0"/>
        </w:numPr>
        <w:ind w:leftChars="0" w:firstLine="420" w:firstLineChars="200"/>
        <w:outlineLvl w:val="9"/>
        <w:rPr>
          <w:rFonts w:hint="default" w:hAnsi="Times New Roman" w:eastAsia="黑体" w:cs="Times New Roman"/>
          <w:color w:val="auto"/>
          <w:highlight w:val="none"/>
          <w:lang w:val="en-US" w:eastAsia="zh-CN"/>
        </w:rPr>
      </w:pPr>
      <w:r>
        <w:rPr>
          <w:rFonts w:hint="eastAsia" w:cs="Times New Roman"/>
          <w:color w:val="auto"/>
          <w:highlight w:val="none"/>
          <w:lang w:val="en-US" w:eastAsia="zh-CN"/>
        </w:rPr>
        <w:t>网上开庭</w:t>
      </w:r>
    </w:p>
    <w:p>
      <w:pPr>
        <w:pStyle w:val="231"/>
        <w:ind w:firstLine="420"/>
        <w:outlineLvl w:val="9"/>
        <w:rPr>
          <w:rFonts w:hint="eastAsia"/>
          <w:color w:val="auto"/>
          <w:highlight w:val="none"/>
        </w:rPr>
      </w:pPr>
      <w:r>
        <w:rPr>
          <w:rFonts w:hint="eastAsia"/>
          <w:color w:val="auto"/>
          <w:highlight w:val="none"/>
        </w:rPr>
        <w:t>利用互联网以非同步电子交互或者同步视频开庭形式所进行的庭审活动。</w:t>
      </w:r>
    </w:p>
    <w:p>
      <w:pPr>
        <w:pStyle w:val="223"/>
        <w:ind w:left="420" w:hanging="420" w:hangingChars="200"/>
        <w:rPr>
          <w:rFonts w:ascii="黑体" w:hAnsi="黑体" w:eastAsia="黑体"/>
          <w:color w:val="auto"/>
        </w:rPr>
      </w:pPr>
    </w:p>
    <w:p>
      <w:pPr>
        <w:pStyle w:val="239"/>
        <w:numPr>
          <w:ilvl w:val="1"/>
          <w:numId w:val="0"/>
        </w:numPr>
        <w:ind w:leftChars="0" w:firstLine="420" w:firstLineChars="200"/>
        <w:outlineLvl w:val="9"/>
        <w:rPr>
          <w:rFonts w:hint="default" w:hAnsi="Times New Roman" w:cs="Times New Roman"/>
          <w:color w:val="auto"/>
          <w:highlight w:val="none"/>
          <w:lang w:val="en-US"/>
        </w:rPr>
      </w:pPr>
      <w:r>
        <w:rPr>
          <w:rFonts w:hint="eastAsia" w:cs="Times New Roman"/>
          <w:color w:val="auto"/>
          <w:highlight w:val="none"/>
          <w:lang w:val="en-US" w:eastAsia="zh-CN"/>
        </w:rPr>
        <w:t>网络仲裁协议</w:t>
      </w:r>
    </w:p>
    <w:p>
      <w:pPr>
        <w:pStyle w:val="231"/>
        <w:ind w:firstLine="420"/>
        <w:outlineLvl w:val="9"/>
        <w:rPr>
          <w:rFonts w:hint="eastAsia" w:ascii="宋体" w:hAnsi="Times New Roman" w:eastAsia="宋体" w:cs="Times New Roman"/>
          <w:color w:val="auto"/>
          <w:highlight w:val="none"/>
        </w:rPr>
      </w:pPr>
      <w:r>
        <w:rPr>
          <w:rFonts w:hint="eastAsia" w:ascii="宋体" w:hAnsi="Times New Roman" w:eastAsia="宋体" w:cs="Times New Roman"/>
          <w:color w:val="auto"/>
          <w:highlight w:val="none"/>
        </w:rPr>
        <w:t>当事人采用书面形式约定将争议通过网络仲裁解决的</w:t>
      </w:r>
      <w:r>
        <w:rPr>
          <w:rFonts w:hint="eastAsia" w:cs="Times New Roman"/>
          <w:color w:val="auto"/>
          <w:highlight w:val="none"/>
          <w:lang w:val="en-US" w:eastAsia="zh-CN"/>
        </w:rPr>
        <w:t>协议</w:t>
      </w:r>
      <w:r>
        <w:rPr>
          <w:rFonts w:hint="eastAsia" w:ascii="宋体" w:hAnsi="Times New Roman" w:eastAsia="宋体" w:cs="Times New Roman"/>
          <w:color w:val="auto"/>
          <w:highlight w:val="none"/>
        </w:rPr>
        <w:t>。</w:t>
      </w:r>
    </w:p>
    <w:p>
      <w:pPr>
        <w:pStyle w:val="231"/>
        <w:ind w:firstLine="420"/>
        <w:outlineLvl w:val="9"/>
        <w:rPr>
          <w:rFonts w:hint="eastAsia" w:ascii="宋体" w:hAnsi="Times New Roman" w:eastAsia="宋体" w:cs="Times New Roman"/>
          <w:color w:val="auto"/>
          <w:highlight w:val="none"/>
        </w:rPr>
      </w:pPr>
      <w:r>
        <w:rPr>
          <w:rFonts w:hint="eastAsia" w:ascii="宋体" w:hAnsi="Times New Roman" w:eastAsia="宋体" w:cs="Times New Roman"/>
          <w:color w:val="auto"/>
          <w:highlight w:val="none"/>
        </w:rPr>
        <w:t>当事人之间的纠纷</w:t>
      </w:r>
      <w:r>
        <w:rPr>
          <w:rFonts w:hint="eastAsia" w:cs="Times New Roman"/>
          <w:color w:val="auto"/>
          <w:highlight w:val="none"/>
          <w:lang w:val="en-US" w:eastAsia="zh-CN"/>
        </w:rPr>
        <w:t>以</w:t>
      </w:r>
      <w:r>
        <w:rPr>
          <w:rFonts w:hint="eastAsia" w:ascii="宋体" w:hAnsi="Times New Roman" w:eastAsia="宋体" w:cs="Times New Roman"/>
          <w:color w:val="auto"/>
          <w:highlight w:val="none"/>
        </w:rPr>
        <w:t>网上仲裁</w:t>
      </w:r>
      <w:r>
        <w:rPr>
          <w:rFonts w:hint="eastAsia" w:cs="Times New Roman"/>
          <w:color w:val="auto"/>
          <w:highlight w:val="none"/>
          <w:lang w:val="en-US" w:eastAsia="zh-CN"/>
        </w:rPr>
        <w:t>程序</w:t>
      </w:r>
      <w:r>
        <w:rPr>
          <w:rFonts w:hint="eastAsia" w:ascii="宋体" w:hAnsi="Times New Roman" w:eastAsia="宋体" w:cs="Times New Roman"/>
          <w:color w:val="auto"/>
          <w:highlight w:val="none"/>
        </w:rPr>
        <w:t>处理时，必须提交双方当事人之间签订的有效的网络仲裁协议。</w:t>
      </w:r>
    </w:p>
    <w:p>
      <w:pPr>
        <w:pStyle w:val="104"/>
        <w:spacing w:before="312" w:after="312"/>
        <w:rPr>
          <w:rFonts w:hint="eastAsia" w:hAnsi="Times New Roman" w:cs="Times New Roman"/>
          <w:color w:val="auto"/>
          <w:szCs w:val="21"/>
        </w:rPr>
      </w:pPr>
      <w:bookmarkStart w:id="30" w:name="_Toc22604"/>
      <w:r>
        <w:rPr>
          <w:rFonts w:hint="eastAsia" w:cs="Times New Roman"/>
          <w:color w:val="auto"/>
          <w:szCs w:val="21"/>
          <w:lang w:val="en-US" w:eastAsia="zh-CN"/>
        </w:rPr>
        <w:t>网上仲裁受理范围</w:t>
      </w:r>
      <w:bookmarkEnd w:id="30"/>
    </w:p>
    <w:p>
      <w:pPr>
        <w:pStyle w:val="231"/>
        <w:ind w:firstLine="420"/>
        <w:outlineLvl w:val="9"/>
        <w:rPr>
          <w:rFonts w:hint="eastAsia" w:ascii="宋体" w:hAnsi="Times New Roman" w:eastAsia="宋体" w:cs="Times New Roman"/>
          <w:color w:val="auto"/>
          <w:highlight w:val="none"/>
          <w:lang w:eastAsia="zh-CN"/>
        </w:rPr>
      </w:pPr>
      <w:r>
        <w:rPr>
          <w:rFonts w:hint="eastAsia" w:cs="Times New Roman"/>
          <w:color w:val="auto"/>
          <w:highlight w:val="none"/>
          <w:lang w:val="en-US" w:eastAsia="zh-CN"/>
        </w:rPr>
        <w:t>网上仲裁受理范围为</w:t>
      </w:r>
      <w:r>
        <w:rPr>
          <w:rFonts w:hint="eastAsia" w:ascii="宋体" w:hAnsi="Times New Roman" w:eastAsia="宋体" w:cs="Times New Roman"/>
          <w:color w:val="auto"/>
          <w:highlight w:val="none"/>
        </w:rPr>
        <w:t>因网上交易产生的民商事争议及其他能够适用网上仲裁程序的民商事争议</w:t>
      </w:r>
      <w:r>
        <w:rPr>
          <w:rFonts w:hint="eastAsia" w:cs="Times New Roman"/>
          <w:color w:val="auto"/>
          <w:highlight w:val="none"/>
          <w:lang w:eastAsia="zh-CN"/>
        </w:rPr>
        <w:t>。</w:t>
      </w:r>
    </w:p>
    <w:p>
      <w:pPr>
        <w:pStyle w:val="104"/>
        <w:spacing w:before="312" w:after="312"/>
        <w:rPr>
          <w:rFonts w:hint="eastAsia" w:hAnsi="Times New Roman" w:cs="Times New Roman"/>
          <w:color w:val="auto"/>
          <w:szCs w:val="21"/>
        </w:rPr>
      </w:pPr>
      <w:bookmarkStart w:id="31" w:name="_Toc18350"/>
      <w:r>
        <w:rPr>
          <w:rFonts w:hint="eastAsia" w:hAnsi="Times New Roman" w:cs="Times New Roman"/>
          <w:color w:val="auto"/>
          <w:szCs w:val="21"/>
          <w:lang w:val="en-US" w:eastAsia="zh-CN"/>
        </w:rPr>
        <w:t>人员要求</w:t>
      </w:r>
      <w:bookmarkEnd w:id="27"/>
      <w:bookmarkEnd w:id="31"/>
    </w:p>
    <w:p>
      <w:pPr>
        <w:pStyle w:val="105"/>
        <w:spacing w:before="156" w:after="156"/>
        <w:rPr>
          <w:rFonts w:hint="default"/>
          <w:color w:val="auto"/>
          <w:lang w:val="en-US"/>
        </w:rPr>
      </w:pPr>
      <w:bookmarkStart w:id="32" w:name="_Toc10314"/>
      <w:bookmarkStart w:id="33" w:name="_Toc27393"/>
      <w:r>
        <w:rPr>
          <w:rFonts w:hint="eastAsia"/>
          <w:color w:val="auto"/>
          <w:lang w:val="en-US" w:eastAsia="zh-CN"/>
        </w:rPr>
        <w:t>总体要求</w:t>
      </w:r>
      <w:bookmarkEnd w:id="32"/>
      <w:bookmarkEnd w:id="33"/>
    </w:p>
    <w:p>
      <w:pPr>
        <w:pStyle w:val="165"/>
        <w:rPr>
          <w:rFonts w:hint="eastAsia" w:ascii="宋体" w:hAnsi="Times New Roman" w:eastAsia="宋体" w:cs="Times New Roman"/>
          <w:color w:val="auto"/>
          <w:sz w:val="21"/>
          <w:szCs w:val="22"/>
          <w:highlight w:val="none"/>
          <w:lang w:val="en-US" w:eastAsia="zh-CN" w:bidi="ar-SA"/>
        </w:rPr>
      </w:pPr>
      <w:bookmarkStart w:id="34" w:name="_Toc3640"/>
      <w:r>
        <w:rPr>
          <w:rFonts w:hint="eastAsia" w:ascii="宋体" w:hAnsi="Times New Roman" w:eastAsia="宋体" w:cs="Times New Roman"/>
          <w:color w:val="auto"/>
          <w:sz w:val="21"/>
          <w:szCs w:val="22"/>
          <w:highlight w:val="none"/>
          <w:lang w:val="en-US" w:eastAsia="zh-CN" w:bidi="ar-SA"/>
        </w:rPr>
        <w:t>仲裁机构应根据工作需要，合理配备与实施网上仲裁的规模相适应的仲裁工作人员，包括管理人员、技术人员和业务人员。管理人员为仲裁机构履行网上仲裁管理职责的人员，技术人员包括为仲裁系统提供技术服务和技术支持的人员，业务人员包括仲裁员、仲裁秘书等。</w:t>
      </w:r>
      <w:bookmarkEnd w:id="34"/>
    </w:p>
    <w:p>
      <w:pPr>
        <w:pStyle w:val="165"/>
        <w:rPr>
          <w:rFonts w:hint="eastAsia" w:ascii="宋体" w:hAnsi="Times New Roman" w:eastAsia="宋体" w:cs="Times New Roman"/>
          <w:color w:val="auto"/>
          <w:sz w:val="21"/>
          <w:szCs w:val="22"/>
          <w:highlight w:val="none"/>
          <w:lang w:val="en-US" w:eastAsia="zh-CN" w:bidi="ar-SA"/>
        </w:rPr>
      </w:pPr>
      <w:bookmarkStart w:id="35" w:name="_Toc30243"/>
      <w:r>
        <w:rPr>
          <w:rFonts w:hint="eastAsia" w:ascii="宋体" w:hAnsi="Times New Roman" w:eastAsia="宋体" w:cs="Times New Roman"/>
          <w:color w:val="auto"/>
          <w:sz w:val="21"/>
          <w:szCs w:val="22"/>
          <w:highlight w:val="none"/>
          <w:lang w:val="en-US" w:eastAsia="zh-CN" w:bidi="ar-SA"/>
        </w:rPr>
        <w:t>工作人员应认真履行职责，严守工作纪律，不得泄露案件涉及的国家秘密、商业秘密和个人隐私等，不得透露案件情况。</w:t>
      </w:r>
      <w:bookmarkEnd w:id="35"/>
    </w:p>
    <w:p>
      <w:pPr>
        <w:pStyle w:val="165"/>
        <w:rPr>
          <w:rFonts w:hint="eastAsia" w:ascii="宋体" w:hAnsi="Times New Roman" w:eastAsia="宋体" w:cs="Times New Roman"/>
          <w:color w:val="auto"/>
          <w:sz w:val="21"/>
          <w:szCs w:val="22"/>
          <w:highlight w:val="none"/>
          <w:lang w:val="en-US" w:eastAsia="zh-CN" w:bidi="ar-SA"/>
        </w:rPr>
      </w:pPr>
      <w:bookmarkStart w:id="36" w:name="_Toc13856"/>
      <w:r>
        <w:rPr>
          <w:rFonts w:hint="eastAsia" w:ascii="宋体" w:hAnsi="Times New Roman" w:eastAsia="宋体" w:cs="Times New Roman"/>
          <w:color w:val="auto"/>
          <w:sz w:val="21"/>
          <w:szCs w:val="22"/>
          <w:highlight w:val="none"/>
          <w:lang w:val="en-US" w:eastAsia="zh-CN" w:bidi="ar-SA"/>
        </w:rPr>
        <w:t>业务人员应熟练掌握和运用专业知识</w:t>
      </w:r>
      <w:r>
        <w:rPr>
          <w:rFonts w:hint="eastAsia" w:cs="Times New Roman"/>
          <w:color w:val="auto"/>
          <w:sz w:val="21"/>
          <w:szCs w:val="22"/>
          <w:highlight w:val="none"/>
          <w:lang w:val="en-US" w:eastAsia="zh-CN" w:bidi="ar-SA"/>
        </w:rPr>
        <w:t>，认真履行</w:t>
      </w:r>
      <w:r>
        <w:rPr>
          <w:rFonts w:hint="eastAsia" w:ascii="宋体" w:hAnsi="Times New Roman" w:eastAsia="宋体" w:cs="Times New Roman"/>
          <w:color w:val="auto"/>
          <w:sz w:val="21"/>
          <w:szCs w:val="22"/>
          <w:highlight w:val="none"/>
          <w:lang w:val="en-US" w:eastAsia="zh-CN" w:bidi="ar-SA"/>
        </w:rPr>
        <w:t>职能，依法</w:t>
      </w:r>
      <w:r>
        <w:rPr>
          <w:rFonts w:hint="eastAsia" w:cs="Times New Roman"/>
          <w:color w:val="auto"/>
          <w:sz w:val="21"/>
          <w:szCs w:val="22"/>
          <w:highlight w:val="none"/>
          <w:lang w:val="en-US" w:eastAsia="zh-CN" w:bidi="ar-SA"/>
        </w:rPr>
        <w:t>依</w:t>
      </w:r>
      <w:r>
        <w:rPr>
          <w:rFonts w:hint="eastAsia" w:ascii="宋体" w:hAnsi="Times New Roman" w:eastAsia="宋体" w:cs="Times New Roman"/>
          <w:color w:val="auto"/>
          <w:sz w:val="21"/>
          <w:szCs w:val="22"/>
          <w:highlight w:val="none"/>
          <w:lang w:val="en-US" w:eastAsia="zh-CN" w:bidi="ar-SA"/>
        </w:rPr>
        <w:t>规</w:t>
      </w:r>
      <w:r>
        <w:rPr>
          <w:rFonts w:hint="eastAsia" w:cs="Times New Roman"/>
          <w:color w:val="auto"/>
          <w:sz w:val="21"/>
          <w:szCs w:val="22"/>
          <w:highlight w:val="none"/>
          <w:lang w:val="en-US" w:eastAsia="zh-CN" w:bidi="ar-SA"/>
        </w:rPr>
        <w:t>办</w:t>
      </w:r>
      <w:r>
        <w:rPr>
          <w:rFonts w:hint="eastAsia" w:ascii="宋体" w:hAnsi="Times New Roman" w:eastAsia="宋体" w:cs="Times New Roman"/>
          <w:color w:val="auto"/>
          <w:sz w:val="21"/>
          <w:szCs w:val="22"/>
          <w:highlight w:val="none"/>
          <w:lang w:val="en-US" w:eastAsia="zh-CN" w:bidi="ar-SA"/>
        </w:rPr>
        <w:t>理案件。</w:t>
      </w:r>
      <w:bookmarkEnd w:id="36"/>
    </w:p>
    <w:p>
      <w:pPr>
        <w:pStyle w:val="105"/>
        <w:spacing w:before="156" w:after="156"/>
        <w:rPr>
          <w:rFonts w:hint="default"/>
          <w:color w:val="auto"/>
          <w:lang w:val="en-US" w:eastAsia="zh-CN"/>
        </w:rPr>
      </w:pPr>
      <w:bookmarkStart w:id="37" w:name="_Toc7262"/>
      <w:r>
        <w:rPr>
          <w:rFonts w:hint="eastAsia"/>
          <w:color w:val="auto"/>
          <w:lang w:val="en-US" w:eastAsia="zh-CN"/>
        </w:rPr>
        <w:t>具体要求</w:t>
      </w:r>
      <w:bookmarkEnd w:id="37"/>
    </w:p>
    <w:p>
      <w:pPr>
        <w:pStyle w:val="65"/>
        <w:spacing w:before="156" w:after="156"/>
        <w:rPr>
          <w:rFonts w:hint="default"/>
          <w:color w:val="auto"/>
          <w:lang w:val="en-US" w:eastAsia="zh-CN"/>
        </w:rPr>
      </w:pPr>
      <w:r>
        <w:rPr>
          <w:rFonts w:hint="eastAsia"/>
          <w:color w:val="auto"/>
          <w:lang w:val="en-US" w:eastAsia="zh-CN"/>
        </w:rPr>
        <w:t>管理人员</w:t>
      </w:r>
    </w:p>
    <w:p>
      <w:pPr>
        <w:pStyle w:val="174"/>
        <w:numPr>
          <w:ilvl w:val="0"/>
          <w:numId w:val="0"/>
        </w:numPr>
        <w:ind w:left="425" w:leftChars="0"/>
        <w:rPr>
          <w:color w:val="auto"/>
        </w:rPr>
      </w:pPr>
      <w:r>
        <w:rPr>
          <w:rFonts w:hint="eastAsia" w:ascii="宋体" w:hAnsi="Times New Roman" w:eastAsia="宋体" w:cs="Times New Roman"/>
          <w:color w:val="auto"/>
          <w:sz w:val="21"/>
          <w:lang w:val="en-US" w:eastAsia="zh-CN" w:bidi="ar-SA"/>
        </w:rPr>
        <w:t>管理人员</w:t>
      </w:r>
      <w:r>
        <w:rPr>
          <w:rFonts w:hint="eastAsia" w:cs="Times New Roman"/>
          <w:color w:val="auto"/>
          <w:sz w:val="21"/>
          <w:lang w:val="en-US" w:eastAsia="zh-CN" w:bidi="ar-SA"/>
        </w:rPr>
        <w:t>负责做好</w:t>
      </w:r>
      <w:r>
        <w:rPr>
          <w:rFonts w:hint="eastAsia" w:ascii="宋体" w:hAnsi="Times New Roman" w:eastAsia="宋体" w:cs="Times New Roman"/>
          <w:color w:val="auto"/>
          <w:sz w:val="21"/>
          <w:lang w:val="en-US" w:eastAsia="zh-CN" w:bidi="ar-SA"/>
        </w:rPr>
        <w:t>网上仲裁有关的内部日常管理工作</w:t>
      </w:r>
      <w:r>
        <w:rPr>
          <w:rFonts w:hint="eastAsia" w:cs="Times New Roman"/>
          <w:color w:val="auto"/>
          <w:sz w:val="21"/>
          <w:lang w:val="en-US" w:eastAsia="zh-CN" w:bidi="ar-SA"/>
        </w:rPr>
        <w:t>、</w:t>
      </w:r>
      <w:r>
        <w:rPr>
          <w:rFonts w:hint="eastAsia"/>
          <w:color w:val="auto"/>
        </w:rPr>
        <w:t>统筹协调网上仲裁办案</w:t>
      </w:r>
      <w:r>
        <w:rPr>
          <w:rFonts w:hint="eastAsia"/>
          <w:color w:val="auto"/>
          <w:lang w:val="en-US" w:eastAsia="zh-CN"/>
        </w:rPr>
        <w:t>事务性工作</w:t>
      </w:r>
      <w:r>
        <w:rPr>
          <w:rFonts w:hint="eastAsia"/>
          <w:color w:val="auto"/>
          <w:lang w:eastAsia="zh-CN"/>
        </w:rPr>
        <w:t>。</w:t>
      </w:r>
    </w:p>
    <w:p>
      <w:pPr>
        <w:pStyle w:val="65"/>
        <w:spacing w:before="156" w:after="156"/>
        <w:rPr>
          <w:rFonts w:hint="eastAsia"/>
          <w:color w:val="auto"/>
          <w:lang w:val="en-US" w:eastAsia="zh-CN"/>
        </w:rPr>
      </w:pPr>
      <w:bookmarkStart w:id="38" w:name="_Toc9409"/>
      <w:r>
        <w:rPr>
          <w:rFonts w:hint="eastAsia"/>
          <w:color w:val="auto"/>
          <w:lang w:val="en-US" w:eastAsia="zh-CN"/>
        </w:rPr>
        <w:t>技术人员</w:t>
      </w:r>
      <w:bookmarkEnd w:id="38"/>
    </w:p>
    <w:p>
      <w:pPr>
        <w:pStyle w:val="174"/>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default"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技术人员</w:t>
      </w:r>
      <w:r>
        <w:rPr>
          <w:rFonts w:hint="eastAsia" w:cs="Times New Roman"/>
          <w:color w:val="auto"/>
          <w:sz w:val="21"/>
          <w:lang w:val="en-US" w:eastAsia="zh-CN" w:bidi="ar-SA"/>
        </w:rPr>
        <w:t>应当</w:t>
      </w:r>
      <w:r>
        <w:rPr>
          <w:rFonts w:hint="eastAsia" w:ascii="宋体" w:hAnsi="Times New Roman" w:eastAsia="宋体" w:cs="Times New Roman"/>
          <w:color w:val="auto"/>
          <w:sz w:val="21"/>
          <w:lang w:val="en-US" w:eastAsia="zh-CN" w:bidi="ar-SA"/>
        </w:rPr>
        <w:t>定期维护与适时更新网上仲裁的终端系统中的各类硬件、软件</w:t>
      </w:r>
      <w:r>
        <w:rPr>
          <w:rFonts w:hint="eastAsia" w:cs="Times New Roman"/>
          <w:color w:val="auto"/>
          <w:sz w:val="21"/>
          <w:lang w:val="en-US" w:eastAsia="zh-CN" w:bidi="ar-SA"/>
        </w:rPr>
        <w:t>，</w:t>
      </w:r>
      <w:r>
        <w:rPr>
          <w:rFonts w:hint="eastAsia" w:ascii="宋体" w:hAnsi="Times New Roman" w:eastAsia="宋体" w:cs="Times New Roman"/>
          <w:color w:val="auto"/>
          <w:sz w:val="21"/>
          <w:lang w:val="en-US" w:eastAsia="zh-CN" w:bidi="ar-SA"/>
        </w:rPr>
        <w:t>定期排查网上仲裁系统的安全隐患</w:t>
      </w:r>
      <w:r>
        <w:rPr>
          <w:rFonts w:hint="eastAsia" w:cs="Times New Roman"/>
          <w:color w:val="auto"/>
          <w:sz w:val="21"/>
          <w:lang w:val="en-US" w:eastAsia="zh-CN" w:bidi="ar-SA"/>
        </w:rPr>
        <w:t>，</w:t>
      </w:r>
      <w:r>
        <w:rPr>
          <w:rFonts w:hint="eastAsia" w:ascii="宋体" w:hAnsi="Times New Roman" w:eastAsia="宋体" w:cs="Times New Roman"/>
          <w:color w:val="auto"/>
          <w:sz w:val="21"/>
          <w:lang w:val="en-US" w:eastAsia="zh-CN" w:bidi="ar-SA"/>
        </w:rPr>
        <w:t>组织网上仲裁系统使用培训</w:t>
      </w:r>
      <w:r>
        <w:rPr>
          <w:rFonts w:hint="eastAsia" w:cs="Times New Roman"/>
          <w:color w:val="auto"/>
          <w:sz w:val="21"/>
          <w:lang w:val="en-US" w:eastAsia="zh-CN" w:bidi="ar-SA"/>
        </w:rPr>
        <w:t>等。</w:t>
      </w:r>
    </w:p>
    <w:p>
      <w:pPr>
        <w:pStyle w:val="65"/>
        <w:spacing w:before="156" w:after="156"/>
        <w:rPr>
          <w:rFonts w:hint="default"/>
          <w:color w:val="auto"/>
          <w:lang w:val="en-US" w:eastAsia="zh-CN"/>
        </w:rPr>
      </w:pPr>
      <w:bookmarkStart w:id="39" w:name="_Toc25278"/>
      <w:r>
        <w:rPr>
          <w:rFonts w:hint="eastAsia"/>
          <w:color w:val="auto"/>
          <w:lang w:val="en-US" w:eastAsia="zh-CN"/>
        </w:rPr>
        <w:t>仲裁员</w:t>
      </w:r>
      <w:bookmarkEnd w:id="39"/>
    </w:p>
    <w:p>
      <w:pPr>
        <w:pStyle w:val="94"/>
        <w:bidi w:val="0"/>
        <w:ind w:left="0" w:leftChars="0" w:firstLine="0" w:firstLineChars="0"/>
        <w:rPr>
          <w:rFonts w:hint="eastAsia"/>
          <w:color w:val="auto"/>
        </w:rPr>
      </w:pPr>
      <w:bookmarkStart w:id="40" w:name="_Toc18927"/>
      <w:r>
        <w:rPr>
          <w:rFonts w:hint="eastAsia"/>
          <w:color w:val="auto"/>
          <w:lang w:val="en-US" w:eastAsia="zh-CN"/>
        </w:rPr>
        <w:t>资格条件</w:t>
      </w:r>
      <w:bookmarkEnd w:id="40"/>
    </w:p>
    <w:p>
      <w:pPr>
        <w:pStyle w:val="23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color w:val="auto"/>
          <w:highlight w:val="none"/>
        </w:rPr>
      </w:pPr>
      <w:r>
        <w:rPr>
          <w:rFonts w:hint="eastAsia"/>
          <w:color w:val="auto"/>
          <w:highlight w:val="none"/>
        </w:rPr>
        <w:t>仲裁员应公道正派，并符合</w:t>
      </w:r>
      <w:r>
        <w:rPr>
          <w:rFonts w:hint="eastAsia"/>
          <w:color w:val="auto"/>
          <w:highlight w:val="none"/>
          <w:lang w:val="en-US" w:eastAsia="zh-CN"/>
        </w:rPr>
        <w:t>下列条件</w:t>
      </w:r>
      <w:r>
        <w:rPr>
          <w:rFonts w:hint="eastAsia"/>
          <w:color w:val="auto"/>
          <w:highlight w:val="none"/>
        </w:rPr>
        <w:t>之一：</w:t>
      </w:r>
    </w:p>
    <w:p>
      <w:pPr>
        <w:pStyle w:val="174"/>
        <w:numPr>
          <w:ilvl w:val="0"/>
          <w:numId w:val="34"/>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通过国家统一法律职业资格考试取得法律职业资格，从事仲裁工作满八年的</w:t>
      </w:r>
      <w:r>
        <w:rPr>
          <w:rFonts w:hint="eastAsia" w:cs="Times New Roman"/>
          <w:color w:val="auto"/>
          <w:sz w:val="21"/>
          <w:lang w:val="en-US" w:eastAsia="zh-CN" w:bidi="ar-SA"/>
        </w:rPr>
        <w:t>。</w:t>
      </w:r>
    </w:p>
    <w:p>
      <w:pPr>
        <w:pStyle w:val="174"/>
        <w:numPr>
          <w:ilvl w:val="0"/>
          <w:numId w:val="34"/>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从事律师工作满八年的</w:t>
      </w:r>
      <w:r>
        <w:rPr>
          <w:rFonts w:hint="eastAsia" w:cs="Times New Roman"/>
          <w:color w:val="auto"/>
          <w:sz w:val="21"/>
          <w:lang w:val="en-US" w:eastAsia="zh-CN" w:bidi="ar-SA"/>
        </w:rPr>
        <w:t>。</w:t>
      </w:r>
    </w:p>
    <w:p>
      <w:pPr>
        <w:pStyle w:val="174"/>
        <w:numPr>
          <w:ilvl w:val="0"/>
          <w:numId w:val="34"/>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曾任法官满八年的</w:t>
      </w:r>
      <w:r>
        <w:rPr>
          <w:rFonts w:hint="eastAsia" w:cs="Times New Roman"/>
          <w:color w:val="auto"/>
          <w:sz w:val="21"/>
          <w:lang w:val="en-US" w:eastAsia="zh-CN" w:bidi="ar-SA"/>
        </w:rPr>
        <w:t>。</w:t>
      </w:r>
    </w:p>
    <w:p>
      <w:pPr>
        <w:pStyle w:val="174"/>
        <w:numPr>
          <w:ilvl w:val="0"/>
          <w:numId w:val="34"/>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从事法律研究、教学工作并具有高级职称的</w:t>
      </w:r>
      <w:r>
        <w:rPr>
          <w:rFonts w:hint="eastAsia" w:cs="Times New Roman"/>
          <w:color w:val="auto"/>
          <w:sz w:val="21"/>
          <w:lang w:val="en-US" w:eastAsia="zh-CN" w:bidi="ar-SA"/>
        </w:rPr>
        <w:t>。</w:t>
      </w:r>
    </w:p>
    <w:p>
      <w:pPr>
        <w:pStyle w:val="174"/>
        <w:numPr>
          <w:ilvl w:val="0"/>
          <w:numId w:val="34"/>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具有法律知识、从事经济贸易等专业工作并具有高级职称或者具有同等专业水平的。</w:t>
      </w:r>
    </w:p>
    <w:p>
      <w:pPr>
        <w:pStyle w:val="94"/>
        <w:bidi w:val="0"/>
        <w:ind w:left="0" w:leftChars="0" w:firstLine="0" w:firstLineChars="0"/>
        <w:rPr>
          <w:rFonts w:hint="eastAsia"/>
          <w:color w:val="auto"/>
          <w:lang w:val="en-US" w:eastAsia="zh-CN"/>
        </w:rPr>
      </w:pPr>
      <w:bookmarkStart w:id="41" w:name="_Toc656"/>
      <w:r>
        <w:rPr>
          <w:rFonts w:hint="eastAsia"/>
          <w:color w:val="auto"/>
          <w:lang w:val="en-US" w:eastAsia="zh-CN"/>
        </w:rPr>
        <w:t>履职要求</w:t>
      </w:r>
      <w:bookmarkEnd w:id="41"/>
    </w:p>
    <w:p>
      <w:pPr>
        <w:pStyle w:val="174"/>
        <w:numPr>
          <w:ilvl w:val="0"/>
          <w:numId w:val="35"/>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能够中立地履行仲裁员的职责，不因一方当事人推选、个人私利、外界压力等而影响裁决的公正性</w:t>
      </w:r>
      <w:r>
        <w:rPr>
          <w:rFonts w:hint="eastAsia" w:cs="Times New Roman"/>
          <w:color w:val="auto"/>
          <w:sz w:val="21"/>
          <w:lang w:val="en-US" w:eastAsia="zh-CN" w:bidi="ar-SA"/>
        </w:rPr>
        <w:t>。</w:t>
      </w:r>
    </w:p>
    <w:p>
      <w:pPr>
        <w:pStyle w:val="174"/>
        <w:numPr>
          <w:ilvl w:val="0"/>
          <w:numId w:val="35"/>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具有解决争议所需的专业知识、实务经验和业务能力</w:t>
      </w:r>
      <w:r>
        <w:rPr>
          <w:rFonts w:hint="eastAsia" w:cs="Times New Roman"/>
          <w:color w:val="auto"/>
          <w:sz w:val="21"/>
          <w:lang w:val="en-US" w:eastAsia="zh-CN" w:bidi="ar-SA"/>
        </w:rPr>
        <w:t>。</w:t>
      </w:r>
    </w:p>
    <w:p>
      <w:pPr>
        <w:pStyle w:val="174"/>
        <w:numPr>
          <w:ilvl w:val="0"/>
          <w:numId w:val="35"/>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能够投入相应的时间和精力，按照《中华人民共和国仲裁法》以及关于案件办理的有关规定要求审理案件</w:t>
      </w:r>
      <w:r>
        <w:rPr>
          <w:rFonts w:hint="eastAsia" w:cs="Times New Roman"/>
          <w:color w:val="auto"/>
          <w:sz w:val="21"/>
          <w:lang w:val="en-US" w:eastAsia="zh-CN" w:bidi="ar-SA"/>
        </w:rPr>
        <w:t>。</w:t>
      </w:r>
    </w:p>
    <w:p>
      <w:pPr>
        <w:pStyle w:val="174"/>
        <w:numPr>
          <w:ilvl w:val="0"/>
          <w:numId w:val="35"/>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能够积极推进仲裁程序，公平、高效地解决争议，并能尽力避免案件的不当拖延、来自当事人等各方面的干扰以及其他在仲裁程序中的权力滥用情形的发生</w:t>
      </w:r>
      <w:r>
        <w:rPr>
          <w:rFonts w:hint="eastAsia" w:cs="Times New Roman"/>
          <w:color w:val="auto"/>
          <w:sz w:val="21"/>
          <w:lang w:val="en-US" w:eastAsia="zh-CN" w:bidi="ar-SA"/>
        </w:rPr>
        <w:t>。</w:t>
      </w:r>
    </w:p>
    <w:p>
      <w:pPr>
        <w:pStyle w:val="174"/>
        <w:numPr>
          <w:ilvl w:val="0"/>
          <w:numId w:val="35"/>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能够</w:t>
      </w:r>
      <w:r>
        <w:rPr>
          <w:rFonts w:hint="eastAsia" w:cs="Times New Roman"/>
          <w:color w:val="auto"/>
          <w:sz w:val="21"/>
          <w:lang w:val="en-US" w:eastAsia="zh-CN" w:bidi="ar-SA"/>
        </w:rPr>
        <w:t>依法</w:t>
      </w:r>
      <w:r>
        <w:rPr>
          <w:rFonts w:hint="eastAsia" w:ascii="宋体" w:hAnsi="Times New Roman" w:eastAsia="宋体" w:cs="Times New Roman"/>
          <w:color w:val="auto"/>
          <w:sz w:val="21"/>
          <w:lang w:val="en-US" w:eastAsia="zh-CN" w:bidi="ar-SA"/>
        </w:rPr>
        <w:t>履行保密义务，不得向当事人或外界透露本人的看法和仲裁庭合议的情况，对涉及仲裁程序、仲裁裁决、当事人的商业秘密等相关问题均应保守秘密。</w:t>
      </w:r>
    </w:p>
    <w:p>
      <w:pPr>
        <w:pStyle w:val="174"/>
        <w:numPr>
          <w:ilvl w:val="0"/>
          <w:numId w:val="35"/>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熟练掌握互联网技术，能够使用网上仲裁系统处理案件。</w:t>
      </w:r>
    </w:p>
    <w:p>
      <w:pPr>
        <w:pStyle w:val="94"/>
        <w:bidi w:val="0"/>
        <w:ind w:left="0" w:leftChars="0" w:firstLine="0" w:firstLineChars="0"/>
        <w:rPr>
          <w:rFonts w:hint="default"/>
          <w:color w:val="auto"/>
          <w:lang w:val="en-US" w:eastAsia="zh-CN"/>
        </w:rPr>
      </w:pPr>
      <w:bookmarkStart w:id="42" w:name="_Toc22780"/>
      <w:r>
        <w:rPr>
          <w:rFonts w:hint="eastAsia"/>
          <w:color w:val="auto"/>
          <w:lang w:val="en-US" w:eastAsia="zh-CN"/>
        </w:rPr>
        <w:t>职责要求</w:t>
      </w:r>
      <w:bookmarkEnd w:id="42"/>
    </w:p>
    <w:p>
      <w:pPr>
        <w:pStyle w:val="231"/>
        <w:rPr>
          <w:rFonts w:hint="default" w:ascii="宋体" w:hAnsi="Times New Roman" w:eastAsia="宋体" w:cs="Times New Roman"/>
          <w:color w:val="auto"/>
          <w:sz w:val="21"/>
          <w:lang w:val="en-US" w:eastAsia="zh-CN" w:bidi="ar-SA"/>
        </w:rPr>
      </w:pPr>
      <w:r>
        <w:rPr>
          <w:rFonts w:hint="default"/>
          <w:color w:val="auto"/>
          <w:highlight w:val="none"/>
          <w:lang w:val="en-US"/>
        </w:rPr>
        <w:t>仲裁员</w:t>
      </w:r>
      <w:r>
        <w:rPr>
          <w:rFonts w:hint="eastAsia"/>
          <w:color w:val="auto"/>
          <w:highlight w:val="none"/>
          <w:lang w:val="en-US" w:eastAsia="zh-CN"/>
        </w:rPr>
        <w:t>应当</w:t>
      </w:r>
      <w:r>
        <w:rPr>
          <w:rFonts w:hint="eastAsia" w:cs="Times New Roman"/>
          <w:color w:val="auto"/>
          <w:sz w:val="21"/>
          <w:lang w:val="en-US" w:eastAsia="zh-CN" w:bidi="ar-SA"/>
        </w:rPr>
        <w:t>做好</w:t>
      </w:r>
      <w:r>
        <w:rPr>
          <w:rFonts w:hint="default" w:ascii="宋体" w:hAnsi="Times New Roman" w:eastAsia="宋体" w:cs="Times New Roman"/>
          <w:color w:val="auto"/>
          <w:sz w:val="21"/>
          <w:lang w:val="en-US" w:eastAsia="zh-CN" w:bidi="ar-SA"/>
        </w:rPr>
        <w:t>网上仲裁案件的仲裁、调解工作</w:t>
      </w:r>
      <w:r>
        <w:rPr>
          <w:rFonts w:hint="eastAsia" w:cs="Times New Roman"/>
          <w:color w:val="auto"/>
          <w:sz w:val="21"/>
          <w:lang w:val="en-US" w:eastAsia="zh-CN" w:bidi="ar-SA"/>
        </w:rPr>
        <w:t>，包括推进仲裁案件程序，进行案件审理，作出裁决文书等。</w:t>
      </w:r>
    </w:p>
    <w:p>
      <w:pPr>
        <w:pStyle w:val="65"/>
        <w:spacing w:before="156" w:after="156"/>
        <w:rPr>
          <w:rFonts w:hint="default"/>
          <w:color w:val="auto"/>
          <w:lang w:val="en-US" w:eastAsia="zh-CN"/>
        </w:rPr>
      </w:pPr>
      <w:bookmarkStart w:id="43" w:name="_Toc13311"/>
      <w:r>
        <w:rPr>
          <w:rFonts w:hint="eastAsia"/>
          <w:color w:val="auto"/>
          <w:lang w:val="en-US" w:eastAsia="zh-CN"/>
        </w:rPr>
        <w:t>仲裁秘书</w:t>
      </w:r>
      <w:bookmarkEnd w:id="43"/>
    </w:p>
    <w:p>
      <w:pPr>
        <w:pStyle w:val="174"/>
        <w:numPr>
          <w:ilvl w:val="0"/>
          <w:numId w:val="0"/>
        </w:numPr>
        <w:ind w:left="425" w:leftChars="0"/>
        <w:rPr>
          <w:rFonts w:hint="default" w:ascii="宋体" w:hAnsi="Times New Roman" w:eastAsia="宋体" w:cs="Times New Roman"/>
          <w:color w:val="auto"/>
          <w:sz w:val="21"/>
          <w:lang w:val="en-US" w:eastAsia="zh-CN" w:bidi="ar-SA"/>
        </w:rPr>
      </w:pPr>
      <w:r>
        <w:rPr>
          <w:rFonts w:hint="default"/>
          <w:color w:val="auto"/>
          <w:highlight w:val="none"/>
          <w:lang w:val="en-US"/>
        </w:rPr>
        <w:t>仲裁秘书</w:t>
      </w:r>
      <w:r>
        <w:rPr>
          <w:rFonts w:hint="eastAsia"/>
          <w:color w:val="auto"/>
          <w:highlight w:val="none"/>
          <w:lang w:val="en-US" w:eastAsia="zh-CN"/>
        </w:rPr>
        <w:t>应当</w:t>
      </w:r>
      <w:r>
        <w:rPr>
          <w:rFonts w:hint="default" w:ascii="宋体" w:hAnsi="Times New Roman" w:eastAsia="宋体" w:cs="Times New Roman"/>
          <w:color w:val="auto"/>
          <w:sz w:val="21"/>
          <w:lang w:val="en-US" w:eastAsia="zh-CN" w:bidi="ar-SA"/>
        </w:rPr>
        <w:t>协助仲裁员</w:t>
      </w:r>
      <w:r>
        <w:rPr>
          <w:rFonts w:hint="eastAsia" w:cs="Times New Roman"/>
          <w:color w:val="auto"/>
          <w:sz w:val="21"/>
          <w:lang w:val="en-US" w:eastAsia="zh-CN" w:bidi="ar-SA"/>
        </w:rPr>
        <w:t>开展</w:t>
      </w:r>
      <w:r>
        <w:rPr>
          <w:rFonts w:hint="default" w:ascii="宋体" w:hAnsi="Times New Roman" w:eastAsia="宋体" w:cs="Times New Roman"/>
          <w:color w:val="auto"/>
          <w:sz w:val="21"/>
          <w:lang w:val="en-US" w:eastAsia="zh-CN" w:bidi="ar-SA"/>
        </w:rPr>
        <w:t>网上仲裁案件的</w:t>
      </w:r>
      <w:r>
        <w:rPr>
          <w:rFonts w:hint="eastAsia" w:cs="Times New Roman"/>
          <w:color w:val="auto"/>
          <w:sz w:val="21"/>
          <w:lang w:val="en-US" w:eastAsia="zh-CN" w:bidi="ar-SA"/>
        </w:rPr>
        <w:t>庭审</w:t>
      </w:r>
      <w:r>
        <w:rPr>
          <w:rFonts w:hint="default" w:ascii="宋体" w:hAnsi="Times New Roman" w:eastAsia="宋体" w:cs="Times New Roman"/>
          <w:color w:val="auto"/>
          <w:sz w:val="21"/>
          <w:lang w:val="en-US" w:eastAsia="zh-CN" w:bidi="ar-SA"/>
        </w:rPr>
        <w:t>、调解</w:t>
      </w:r>
      <w:r>
        <w:rPr>
          <w:rFonts w:hint="eastAsia" w:cs="Times New Roman"/>
          <w:color w:val="auto"/>
          <w:sz w:val="21"/>
          <w:lang w:val="en-US" w:eastAsia="zh-CN" w:bidi="ar-SA"/>
        </w:rPr>
        <w:t>、裁决</w:t>
      </w:r>
      <w:r>
        <w:rPr>
          <w:rFonts w:hint="default" w:ascii="宋体" w:hAnsi="Times New Roman" w:eastAsia="宋体" w:cs="Times New Roman"/>
          <w:color w:val="auto"/>
          <w:sz w:val="21"/>
          <w:lang w:val="en-US" w:eastAsia="zh-CN" w:bidi="ar-SA"/>
        </w:rPr>
        <w:t>工作</w:t>
      </w:r>
      <w:r>
        <w:rPr>
          <w:rFonts w:hint="eastAsia" w:cs="Times New Roman"/>
          <w:color w:val="auto"/>
          <w:sz w:val="21"/>
          <w:lang w:val="en-US" w:eastAsia="zh-CN" w:bidi="ar-SA"/>
        </w:rPr>
        <w:t>，并</w:t>
      </w:r>
      <w:r>
        <w:rPr>
          <w:rFonts w:hint="default" w:ascii="宋体" w:hAnsi="Times New Roman" w:eastAsia="宋体" w:cs="Times New Roman"/>
          <w:color w:val="auto"/>
          <w:sz w:val="21"/>
          <w:lang w:val="en-US" w:eastAsia="zh-CN" w:bidi="ar-SA"/>
        </w:rPr>
        <w:t>处理网上仲裁案件的程序管理</w:t>
      </w:r>
      <w:r>
        <w:rPr>
          <w:rFonts w:hint="eastAsia" w:cs="Times New Roman"/>
          <w:color w:val="auto"/>
          <w:sz w:val="21"/>
          <w:lang w:val="en-US" w:eastAsia="zh-CN" w:bidi="ar-SA"/>
        </w:rPr>
        <w:t>服务</w:t>
      </w:r>
      <w:r>
        <w:rPr>
          <w:rFonts w:hint="default" w:ascii="宋体" w:hAnsi="Times New Roman" w:eastAsia="宋体" w:cs="Times New Roman"/>
          <w:color w:val="auto"/>
          <w:sz w:val="21"/>
          <w:lang w:val="en-US" w:eastAsia="zh-CN" w:bidi="ar-SA"/>
        </w:rPr>
        <w:t>工作</w:t>
      </w:r>
      <w:r>
        <w:rPr>
          <w:rFonts w:hint="eastAsia" w:cs="Times New Roman"/>
          <w:color w:val="auto"/>
          <w:sz w:val="21"/>
          <w:lang w:val="en-US" w:eastAsia="zh-CN" w:bidi="ar-SA"/>
        </w:rPr>
        <w:t>。</w:t>
      </w:r>
    </w:p>
    <w:p>
      <w:pPr>
        <w:pStyle w:val="104"/>
        <w:spacing w:before="312" w:after="312"/>
        <w:rPr>
          <w:rFonts w:hint="eastAsia" w:hAnsi="Times New Roman" w:cs="Times New Roman"/>
          <w:color w:val="auto"/>
          <w:szCs w:val="21"/>
          <w:lang w:val="en-US" w:eastAsia="zh-CN"/>
        </w:rPr>
      </w:pPr>
      <w:bookmarkStart w:id="44" w:name="_Toc22490"/>
      <w:bookmarkStart w:id="45" w:name="_Toc10901"/>
      <w:r>
        <w:rPr>
          <w:rFonts w:hint="eastAsia" w:hAnsi="Times New Roman" w:cs="Times New Roman"/>
          <w:color w:val="auto"/>
          <w:szCs w:val="21"/>
          <w:lang w:val="en-US" w:eastAsia="zh-CN"/>
        </w:rPr>
        <w:t>技术要求</w:t>
      </w:r>
      <w:bookmarkEnd w:id="44"/>
      <w:bookmarkEnd w:id="45"/>
    </w:p>
    <w:p>
      <w:pPr>
        <w:pStyle w:val="105"/>
        <w:spacing w:before="156" w:after="156"/>
        <w:rPr>
          <w:rFonts w:hint="default" w:hAnsi="Times New Roman" w:cs="Times New Roman"/>
          <w:color w:val="auto"/>
          <w:lang w:val="en-US" w:eastAsia="zh-CN"/>
        </w:rPr>
      </w:pPr>
      <w:bookmarkStart w:id="46" w:name="_Toc4587"/>
      <w:bookmarkStart w:id="47" w:name="_Toc2214"/>
      <w:r>
        <w:rPr>
          <w:rFonts w:hint="eastAsia" w:hAnsi="Times New Roman" w:cs="Times New Roman"/>
          <w:color w:val="auto"/>
          <w:lang w:val="en-US" w:eastAsia="zh-CN"/>
        </w:rPr>
        <w:t>总体要求</w:t>
      </w:r>
      <w:bookmarkEnd w:id="46"/>
      <w:bookmarkEnd w:id="47"/>
    </w:p>
    <w:p>
      <w:pPr>
        <w:pStyle w:val="165"/>
        <w:rPr>
          <w:rFonts w:hint="eastAsia" w:ascii="宋体" w:hAnsi="Times New Roman" w:eastAsia="宋体" w:cs="Times New Roman"/>
          <w:color w:val="auto"/>
          <w:sz w:val="21"/>
          <w:szCs w:val="22"/>
          <w:highlight w:val="none"/>
          <w:lang w:val="en-US" w:eastAsia="zh-CN" w:bidi="ar-SA"/>
        </w:rPr>
      </w:pPr>
      <w:bookmarkStart w:id="48" w:name="_Toc24293"/>
      <w:r>
        <w:rPr>
          <w:rFonts w:hint="eastAsia" w:ascii="宋体" w:hAnsi="Times New Roman" w:eastAsia="宋体" w:cs="Times New Roman"/>
          <w:color w:val="auto"/>
          <w:sz w:val="21"/>
          <w:szCs w:val="22"/>
          <w:highlight w:val="none"/>
          <w:lang w:val="en-US" w:eastAsia="zh-CN" w:bidi="ar-SA"/>
        </w:rPr>
        <w:t>应提供智能化仲裁服务，优化办案流程，实现立案、受理、组庭、开庭、裁决等全流程在线处理。</w:t>
      </w:r>
      <w:bookmarkEnd w:id="48"/>
    </w:p>
    <w:p>
      <w:pPr>
        <w:pStyle w:val="165"/>
        <w:rPr>
          <w:rFonts w:hint="eastAsia" w:ascii="宋体" w:hAnsi="Times New Roman" w:eastAsia="宋体" w:cs="Times New Roman"/>
          <w:color w:val="auto"/>
          <w:sz w:val="21"/>
          <w:szCs w:val="22"/>
          <w:highlight w:val="none"/>
          <w:lang w:val="en-US" w:eastAsia="zh-CN" w:bidi="ar-SA"/>
        </w:rPr>
      </w:pPr>
      <w:bookmarkStart w:id="49" w:name="_Toc10499"/>
      <w:r>
        <w:rPr>
          <w:rFonts w:hint="eastAsia" w:ascii="宋体" w:hAnsi="Times New Roman" w:eastAsia="宋体" w:cs="Times New Roman"/>
          <w:color w:val="auto"/>
          <w:sz w:val="21"/>
          <w:szCs w:val="22"/>
          <w:highlight w:val="none"/>
          <w:lang w:val="en-US" w:eastAsia="zh-CN" w:bidi="ar-SA"/>
        </w:rPr>
        <w:t>应加强基础措施保障建设，包括但不限于经费保障、软硬件保障、技术保障等。</w:t>
      </w:r>
      <w:bookmarkEnd w:id="49"/>
    </w:p>
    <w:p>
      <w:pPr>
        <w:pStyle w:val="165"/>
        <w:rPr>
          <w:rFonts w:hint="eastAsia" w:ascii="宋体" w:hAnsi="Times New Roman" w:eastAsia="宋体" w:cs="Times New Roman"/>
          <w:color w:val="auto"/>
          <w:sz w:val="21"/>
          <w:szCs w:val="22"/>
          <w:highlight w:val="none"/>
          <w:lang w:val="en-US" w:eastAsia="zh-CN" w:bidi="ar-SA"/>
        </w:rPr>
      </w:pPr>
      <w:bookmarkStart w:id="50" w:name="_Toc18825"/>
      <w:r>
        <w:rPr>
          <w:rFonts w:hint="eastAsia" w:ascii="宋体" w:hAnsi="Times New Roman" w:eastAsia="宋体" w:cs="Times New Roman"/>
          <w:color w:val="auto"/>
          <w:sz w:val="21"/>
          <w:szCs w:val="22"/>
          <w:highlight w:val="none"/>
          <w:lang w:val="en-US" w:eastAsia="zh-CN" w:bidi="ar-SA"/>
        </w:rPr>
        <w:t>应保证用户隐私及信息安全，提供安全、稳定、可靠的技术服务。</w:t>
      </w:r>
      <w:bookmarkEnd w:id="50"/>
    </w:p>
    <w:p>
      <w:pPr>
        <w:pStyle w:val="165"/>
        <w:rPr>
          <w:rFonts w:hint="eastAsia" w:ascii="宋体" w:hAnsi="Times New Roman" w:eastAsia="宋体" w:cs="Times New Roman"/>
          <w:color w:val="auto"/>
          <w:sz w:val="21"/>
          <w:szCs w:val="22"/>
          <w:highlight w:val="none"/>
          <w:lang w:val="en-US" w:eastAsia="zh-CN" w:bidi="ar-SA"/>
        </w:rPr>
      </w:pPr>
      <w:bookmarkStart w:id="51" w:name="_Toc31494"/>
      <w:r>
        <w:rPr>
          <w:rFonts w:hint="eastAsia" w:ascii="宋体" w:hAnsi="Times New Roman" w:eastAsia="宋体" w:cs="Times New Roman"/>
          <w:color w:val="auto"/>
          <w:sz w:val="21"/>
          <w:szCs w:val="22"/>
          <w:highlight w:val="none"/>
          <w:lang w:val="en-US" w:eastAsia="zh-CN" w:bidi="ar-SA"/>
        </w:rPr>
        <w:t>应遵循便利性原则，为当事人提供方便、快捷的网上仲裁服务。</w:t>
      </w:r>
      <w:bookmarkEnd w:id="51"/>
    </w:p>
    <w:p>
      <w:pPr>
        <w:pStyle w:val="105"/>
        <w:spacing w:before="156" w:after="156"/>
        <w:rPr>
          <w:rFonts w:hint="eastAsia" w:ascii="宋体" w:hAnsi="宋体" w:eastAsia="宋体" w:cs="宋体"/>
          <w:color w:val="auto"/>
          <w:sz w:val="21"/>
          <w:szCs w:val="21"/>
          <w:lang w:val="en-US" w:eastAsia="zh-CN" w:bidi="ar-SA"/>
        </w:rPr>
      </w:pPr>
      <w:bookmarkStart w:id="52" w:name="_Toc15953"/>
      <w:bookmarkStart w:id="53" w:name="_Toc17180"/>
      <w:r>
        <w:rPr>
          <w:rFonts w:hint="eastAsia" w:hAnsi="Times New Roman" w:cs="Times New Roman"/>
          <w:color w:val="auto"/>
          <w:lang w:val="en-US" w:eastAsia="zh-CN"/>
        </w:rPr>
        <w:t>硬件</w:t>
      </w:r>
      <w:bookmarkEnd w:id="52"/>
      <w:r>
        <w:rPr>
          <w:rFonts w:hint="eastAsia" w:cs="Times New Roman"/>
          <w:color w:val="auto"/>
          <w:lang w:val="en-US" w:eastAsia="zh-CN"/>
        </w:rPr>
        <w:t>要求</w:t>
      </w:r>
      <w:bookmarkEnd w:id="53"/>
    </w:p>
    <w:p>
      <w:pPr>
        <w:pStyle w:val="56"/>
        <w:ind w:left="0" w:leftChars="0" w:firstLine="0" w:firstLineChars="0"/>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为保障视频会议系统能够顺利使用，应配备如下硬件设备：</w:t>
      </w:r>
    </w:p>
    <w:p>
      <w:pPr>
        <w:pStyle w:val="174"/>
        <w:numPr>
          <w:ilvl w:val="0"/>
          <w:numId w:val="36"/>
        </w:numPr>
        <w:tabs>
          <w:tab w:val="clear" w:pos="851"/>
        </w:tabs>
        <w:ind w:left="851" w:leftChars="0" w:hanging="851" w:firstLineChars="0"/>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PC、移动端。视频会议系统终端在PC或移动端上使用，并通过PC或移动端与音频、视频、显示设备连接。</w:t>
      </w:r>
    </w:p>
    <w:p>
      <w:pPr>
        <w:pStyle w:val="174"/>
        <w:numPr>
          <w:ilvl w:val="0"/>
          <w:numId w:val="36"/>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网络。PC通过互联网与会议服务器连接，并通过互联网传输音频、视频、数据共享的内容。为了满足远程会议、培训、经验交流等各个应用，需要在会议带宽上有充分的保障，会议使用的PC连接所用网线至少保障独享2M。</w:t>
      </w:r>
    </w:p>
    <w:p>
      <w:pPr>
        <w:pStyle w:val="174"/>
        <w:numPr>
          <w:ilvl w:val="0"/>
          <w:numId w:val="36"/>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音频设备。音频包含全向麦、麦克、音响功放、音频处理器、调音台灯常见部分。着重关注与PC音频的交互支持，作为音频控制的核心音频处理器需对音频回声消除和噪声抑制重点支持，确保在会议音频的输入和输出稳定正常。</w:t>
      </w:r>
    </w:p>
    <w:p>
      <w:pPr>
        <w:pStyle w:val="174"/>
        <w:numPr>
          <w:ilvl w:val="0"/>
          <w:numId w:val="36"/>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显示设备。应确保显示设备的清晰度和质量。一般采用投影仪、智能交互平板、液晶电视。在</w:t>
      </w:r>
      <w:r>
        <w:rPr>
          <w:rFonts w:hint="eastAsia" w:cs="Times New Roman"/>
          <w:color w:val="auto"/>
          <w:sz w:val="21"/>
          <w:lang w:val="en-US" w:eastAsia="zh-CN" w:bidi="ar-SA"/>
        </w:rPr>
        <w:t>独立会议室或封闭空间</w:t>
      </w:r>
      <w:r>
        <w:rPr>
          <w:rFonts w:hint="eastAsia" w:ascii="宋体" w:hAnsi="Times New Roman" w:eastAsia="宋体" w:cs="Times New Roman"/>
          <w:color w:val="auto"/>
          <w:sz w:val="21"/>
          <w:lang w:val="en-US" w:eastAsia="zh-CN" w:bidi="ar-SA"/>
        </w:rPr>
        <w:t>，采用投影仪与智能交互平板或液晶电视相结合的方案。</w:t>
      </w:r>
    </w:p>
    <w:p>
      <w:pPr>
        <w:pStyle w:val="174"/>
        <w:numPr>
          <w:ilvl w:val="0"/>
          <w:numId w:val="36"/>
        </w:numPr>
        <w:rPr>
          <w:rFonts w:hint="default"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录音录像设备。录音录像文件应客观、系统地反映主题内容，画面完整、端正，声音和影像清晰。</w:t>
      </w:r>
    </w:p>
    <w:p>
      <w:pPr>
        <w:pStyle w:val="174"/>
        <w:numPr>
          <w:ilvl w:val="0"/>
          <w:numId w:val="36"/>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上述硬件设备的一般性能参数参考附录A。</w:t>
      </w:r>
    </w:p>
    <w:p>
      <w:pPr>
        <w:pStyle w:val="105"/>
        <w:spacing w:before="156" w:after="156"/>
        <w:rPr>
          <w:rFonts w:hint="eastAsia" w:hAnsi="Times New Roman" w:cs="Times New Roman"/>
          <w:color w:val="auto"/>
          <w:lang w:val="en-US" w:eastAsia="zh-CN"/>
        </w:rPr>
      </w:pPr>
      <w:bookmarkStart w:id="54" w:name="_Toc31325"/>
      <w:bookmarkStart w:id="55" w:name="_Toc14216"/>
      <w:r>
        <w:rPr>
          <w:rFonts w:hint="eastAsia" w:hAnsi="Times New Roman" w:cs="Times New Roman"/>
          <w:color w:val="auto"/>
          <w:lang w:val="en-US" w:eastAsia="zh-CN"/>
        </w:rPr>
        <w:t>软件</w:t>
      </w:r>
      <w:bookmarkEnd w:id="54"/>
      <w:r>
        <w:rPr>
          <w:rFonts w:hint="eastAsia" w:cs="Times New Roman"/>
          <w:color w:val="auto"/>
          <w:lang w:val="en-US" w:eastAsia="zh-CN"/>
        </w:rPr>
        <w:t>要求</w:t>
      </w:r>
      <w:bookmarkEnd w:id="55"/>
    </w:p>
    <w:p>
      <w:pPr>
        <w:pStyle w:val="231"/>
        <w:rPr>
          <w:rFonts w:hint="eastAsia"/>
          <w:color w:val="auto"/>
          <w:szCs w:val="22"/>
          <w:highlight w:val="none"/>
        </w:rPr>
      </w:pPr>
      <w:r>
        <w:rPr>
          <w:rFonts w:hint="eastAsia"/>
          <w:color w:val="auto"/>
          <w:szCs w:val="22"/>
          <w:highlight w:val="none"/>
        </w:rPr>
        <w:t>为保障视频会议系统能够顺利使用，应配备如下软件及数字服务：</w:t>
      </w:r>
    </w:p>
    <w:p>
      <w:pPr>
        <w:pStyle w:val="174"/>
        <w:numPr>
          <w:ilvl w:val="0"/>
          <w:numId w:val="37"/>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操作系统。应配备支持在稳定、安全的基础上开展网上仲裁的操作系统，包括但不限于Windows、Linux、MacOS、麒麟操作系统、iOS、Android。</w:t>
      </w:r>
    </w:p>
    <w:p>
      <w:pPr>
        <w:pStyle w:val="174"/>
        <w:numPr>
          <w:ilvl w:val="0"/>
          <w:numId w:val="37"/>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音、视频软件。应配备用于音、视频采集软件、播放软件，以满足仲裁</w:t>
      </w:r>
      <w:r>
        <w:rPr>
          <w:rFonts w:hint="eastAsia" w:cs="Times New Roman"/>
          <w:color w:val="auto"/>
          <w:sz w:val="21"/>
          <w:lang w:val="en-US" w:eastAsia="zh-CN" w:bidi="ar-SA"/>
        </w:rPr>
        <w:t>全流</w:t>
      </w:r>
      <w:r>
        <w:rPr>
          <w:rFonts w:hint="eastAsia" w:ascii="宋体" w:hAnsi="Times New Roman" w:eastAsia="宋体" w:cs="Times New Roman"/>
          <w:color w:val="auto"/>
          <w:sz w:val="21"/>
          <w:lang w:val="en-US" w:eastAsia="zh-CN" w:bidi="ar-SA"/>
        </w:rPr>
        <w:t>程各种音、视频文件类型的输入与展示需求。</w:t>
      </w:r>
    </w:p>
    <w:p>
      <w:pPr>
        <w:pStyle w:val="174"/>
        <w:numPr>
          <w:ilvl w:val="0"/>
          <w:numId w:val="37"/>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通讯软件。应配备具备合法授权、采取加密技术的通讯软件，以满足仲裁</w:t>
      </w:r>
      <w:r>
        <w:rPr>
          <w:rFonts w:hint="eastAsia" w:cs="Times New Roman"/>
          <w:color w:val="auto"/>
          <w:sz w:val="21"/>
          <w:lang w:val="en-US" w:eastAsia="zh-CN" w:bidi="ar-SA"/>
        </w:rPr>
        <w:t>全流</w:t>
      </w:r>
      <w:r>
        <w:rPr>
          <w:rFonts w:hint="eastAsia" w:ascii="宋体" w:hAnsi="Times New Roman" w:eastAsia="宋体" w:cs="Times New Roman"/>
          <w:color w:val="auto"/>
          <w:sz w:val="21"/>
          <w:lang w:val="en-US" w:eastAsia="zh-CN" w:bidi="ar-SA"/>
        </w:rPr>
        <w:t>程通讯需求。</w:t>
      </w:r>
    </w:p>
    <w:p>
      <w:pPr>
        <w:pStyle w:val="174"/>
        <w:numPr>
          <w:ilvl w:val="0"/>
          <w:numId w:val="37"/>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其他应当配备的软件与服务。</w:t>
      </w:r>
    </w:p>
    <w:p>
      <w:pPr>
        <w:pStyle w:val="105"/>
        <w:spacing w:before="156" w:after="156"/>
        <w:rPr>
          <w:rFonts w:hint="eastAsia" w:hAnsi="Times New Roman" w:cs="Times New Roman"/>
          <w:color w:val="auto"/>
          <w:lang w:val="en-US" w:eastAsia="zh-CN"/>
        </w:rPr>
      </w:pPr>
      <w:bookmarkStart w:id="56" w:name="_Toc19686"/>
      <w:bookmarkStart w:id="57" w:name="_Toc31053"/>
      <w:r>
        <w:rPr>
          <w:rFonts w:hint="eastAsia" w:hAnsi="Times New Roman" w:cs="Times New Roman"/>
          <w:color w:val="auto"/>
          <w:lang w:val="en-US" w:eastAsia="zh-CN"/>
        </w:rPr>
        <w:t>场地</w:t>
      </w:r>
      <w:bookmarkEnd w:id="56"/>
      <w:r>
        <w:rPr>
          <w:rFonts w:hint="eastAsia" w:cs="Times New Roman"/>
          <w:color w:val="auto"/>
          <w:lang w:val="en-US" w:eastAsia="zh-CN"/>
        </w:rPr>
        <w:t>要求</w:t>
      </w:r>
      <w:bookmarkEnd w:id="57"/>
    </w:p>
    <w:p>
      <w:pPr>
        <w:pStyle w:val="231"/>
        <w:rPr>
          <w:rFonts w:hint="eastAsia"/>
          <w:color w:val="auto"/>
          <w:szCs w:val="22"/>
          <w:highlight w:val="none"/>
        </w:rPr>
      </w:pPr>
      <w:r>
        <w:rPr>
          <w:rFonts w:hint="eastAsia"/>
          <w:color w:val="auto"/>
          <w:szCs w:val="22"/>
          <w:highlight w:val="none"/>
        </w:rPr>
        <w:t>为使网上仲裁达到更好效果，网上仲裁所使用场地应具备如下要求：</w:t>
      </w:r>
    </w:p>
    <w:p>
      <w:pPr>
        <w:pStyle w:val="174"/>
        <w:numPr>
          <w:ilvl w:val="0"/>
          <w:numId w:val="38"/>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环境。场地温度、湿度、空气、噪声级应适宜，温度以18至22摄氏度、湿度以60%至80%较为合理，每人每时换气量不少于18立方米，环境噪音级要求为40dB（A）。</w:t>
      </w:r>
    </w:p>
    <w:p>
      <w:pPr>
        <w:pStyle w:val="174"/>
        <w:numPr>
          <w:ilvl w:val="0"/>
          <w:numId w:val="38"/>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布局。场地墙壁四周、桌椅以浅色调为适宜，监视器布局常置于相对仲裁参与者中心位置，距地高度约1米，仲裁参与者与监视器的距离约为距屏幕的6倍高度。</w:t>
      </w:r>
    </w:p>
    <w:p>
      <w:pPr>
        <w:pStyle w:val="174"/>
        <w:numPr>
          <w:ilvl w:val="0"/>
          <w:numId w:val="38"/>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灯光照度。场地使用人工光源，选择冷光源，注诸如“三色基灯”（R、G、B）效果最佳。</w:t>
      </w:r>
    </w:p>
    <w:p>
      <w:pPr>
        <w:pStyle w:val="174"/>
        <w:numPr>
          <w:ilvl w:val="0"/>
          <w:numId w:val="38"/>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声学。场地应保证声绝缘与吸声效果，室内一般需铺地毯、挂遮光窗帘、配置吸声吊顶等。扬声器布置应使场地得到均匀声场，防止声音回传。</w:t>
      </w:r>
    </w:p>
    <w:p>
      <w:pPr>
        <w:pStyle w:val="174"/>
        <w:numPr>
          <w:ilvl w:val="0"/>
          <w:numId w:val="38"/>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供电系统。应采用三套供电系统，一套供电系统作为场地照明用电，第二套供电系统作为整个终端设备、控制室设备的供电、并采用不中断电源系统（UPS），第三套供电系统用于空调设备等的供电。</w:t>
      </w:r>
    </w:p>
    <w:p>
      <w:pPr>
        <w:pStyle w:val="174"/>
        <w:numPr>
          <w:ilvl w:val="0"/>
          <w:numId w:val="38"/>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传输线路布置。应把网络线和电话线布到终端设备放置的地方。会议室内信号线、网络线、视频线、音频线、电源线及其他控制线应考虑使用线槽线管。</w:t>
      </w:r>
    </w:p>
    <w:p>
      <w:pPr>
        <w:pStyle w:val="105"/>
        <w:spacing w:before="156" w:after="156"/>
        <w:rPr>
          <w:rFonts w:hint="eastAsia" w:hAnsi="Times New Roman" w:cs="Times New Roman"/>
          <w:color w:val="auto"/>
          <w:lang w:val="en-US" w:eastAsia="zh-CN"/>
        </w:rPr>
      </w:pPr>
      <w:bookmarkStart w:id="58" w:name="_Toc14320"/>
      <w:bookmarkStart w:id="59" w:name="_Toc8684"/>
      <w:r>
        <w:rPr>
          <w:rFonts w:hint="eastAsia" w:hAnsi="Times New Roman" w:cs="Times New Roman"/>
          <w:color w:val="auto"/>
          <w:lang w:val="en-US" w:eastAsia="zh-CN"/>
        </w:rPr>
        <w:t>数字安全</w:t>
      </w:r>
      <w:bookmarkEnd w:id="58"/>
      <w:r>
        <w:rPr>
          <w:rFonts w:hint="eastAsia" w:cs="Times New Roman"/>
          <w:color w:val="auto"/>
          <w:lang w:val="en-US" w:eastAsia="zh-CN"/>
        </w:rPr>
        <w:t>要求</w:t>
      </w:r>
      <w:bookmarkEnd w:id="59"/>
    </w:p>
    <w:p>
      <w:pPr>
        <w:pStyle w:val="231"/>
        <w:keepNext w:val="0"/>
        <w:keepLines w:val="0"/>
        <w:pageBreakBefore w:val="0"/>
        <w:widowControl/>
        <w:kinsoku/>
        <w:wordWrap/>
        <w:overflowPunct/>
        <w:topLinePunct w:val="0"/>
        <w:autoSpaceDE w:val="0"/>
        <w:autoSpaceDN w:val="0"/>
        <w:bidi w:val="0"/>
        <w:adjustRightInd/>
        <w:snapToGrid/>
        <w:ind w:left="0" w:leftChars="0" w:firstLine="420" w:firstLineChars="200"/>
        <w:jc w:val="left"/>
        <w:textAlignment w:val="auto"/>
        <w:rPr>
          <w:rFonts w:hint="eastAsia"/>
          <w:color w:val="auto"/>
          <w:szCs w:val="22"/>
          <w:highlight w:val="none"/>
        </w:rPr>
      </w:pPr>
      <w:r>
        <w:rPr>
          <w:rFonts w:hint="eastAsia"/>
          <w:color w:val="auto"/>
          <w:szCs w:val="22"/>
          <w:highlight w:val="none"/>
        </w:rPr>
        <w:t>网上仲裁应保证用户隐私及信息安全，维护系统数据的可用性、可靠性和保密性，保证网上仲裁系统正常运行，在数字安全方面应采取措施保证网上仲裁安全运转，主要包括如下方面：</w:t>
      </w:r>
    </w:p>
    <w:p>
      <w:pPr>
        <w:pStyle w:val="174"/>
        <w:numPr>
          <w:ilvl w:val="0"/>
          <w:numId w:val="39"/>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物理和环境安全。应为机房选择一个合理的物理位置，同时控制对信息资源的物理访问，保护信息机密性或关键信息不受非授权访问。</w:t>
      </w:r>
    </w:p>
    <w:p>
      <w:pPr>
        <w:pStyle w:val="174"/>
        <w:numPr>
          <w:ilvl w:val="0"/>
          <w:numId w:val="39"/>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信息加密。包括但不限于文件加密、数据传输加密、在线音视频加密等。</w:t>
      </w:r>
    </w:p>
    <w:p>
      <w:pPr>
        <w:pStyle w:val="174"/>
        <w:numPr>
          <w:ilvl w:val="0"/>
          <w:numId w:val="39"/>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通讯安全。应建立通讯安全机制，避免网络攻击。</w:t>
      </w:r>
    </w:p>
    <w:p>
      <w:pPr>
        <w:pStyle w:val="174"/>
        <w:numPr>
          <w:ilvl w:val="0"/>
          <w:numId w:val="39"/>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数字安全培训。应适时举行数字安全学习与培训，建立风险预警机制。</w:t>
      </w:r>
    </w:p>
    <w:p>
      <w:pPr>
        <w:pStyle w:val="104"/>
        <w:spacing w:before="312" w:after="312"/>
        <w:rPr>
          <w:rFonts w:hint="default" w:hAnsi="Times New Roman" w:cs="Times New Roman"/>
          <w:color w:val="auto"/>
          <w:szCs w:val="21"/>
          <w:lang w:val="en-US" w:eastAsia="zh-CN"/>
        </w:rPr>
      </w:pPr>
      <w:bookmarkStart w:id="60" w:name="_Toc25190"/>
      <w:bookmarkStart w:id="61" w:name="_Toc3701"/>
      <w:r>
        <w:rPr>
          <w:rFonts w:hint="eastAsia" w:hAnsi="Times New Roman" w:cs="Times New Roman"/>
          <w:color w:val="auto"/>
          <w:szCs w:val="21"/>
          <w:lang w:val="en-US" w:eastAsia="zh-CN"/>
        </w:rPr>
        <w:t>服务</w:t>
      </w:r>
      <w:bookmarkEnd w:id="60"/>
      <w:r>
        <w:rPr>
          <w:rFonts w:hint="eastAsia" w:cs="Times New Roman"/>
          <w:color w:val="auto"/>
          <w:szCs w:val="21"/>
          <w:lang w:val="en-US" w:eastAsia="zh-CN"/>
        </w:rPr>
        <w:t>要求</w:t>
      </w:r>
      <w:bookmarkEnd w:id="61"/>
    </w:p>
    <w:p>
      <w:pPr>
        <w:pStyle w:val="105"/>
        <w:spacing w:before="156" w:after="156"/>
        <w:rPr>
          <w:rFonts w:hint="default" w:hAnsi="Times New Roman" w:cs="Times New Roman"/>
          <w:color w:val="auto"/>
          <w:lang w:val="en-US" w:eastAsia="zh-CN"/>
        </w:rPr>
      </w:pPr>
      <w:bookmarkStart w:id="62" w:name="_Toc18031"/>
      <w:bookmarkStart w:id="63" w:name="_Toc17691"/>
      <w:r>
        <w:rPr>
          <w:rFonts w:hint="eastAsia" w:hAnsi="Times New Roman" w:cs="Times New Roman"/>
          <w:color w:val="auto"/>
          <w:lang w:val="en-US" w:eastAsia="zh-CN"/>
        </w:rPr>
        <w:t>仲裁参与人实名认证与身份核实</w:t>
      </w:r>
      <w:bookmarkEnd w:id="62"/>
      <w:bookmarkEnd w:id="63"/>
    </w:p>
    <w:p>
      <w:pPr>
        <w:pStyle w:val="165"/>
        <w:rPr>
          <w:rFonts w:hint="eastAsia" w:ascii="宋体" w:hAnsi="Times New Roman" w:eastAsia="宋体" w:cs="Times New Roman"/>
          <w:color w:val="auto"/>
          <w:sz w:val="21"/>
          <w:szCs w:val="22"/>
          <w:highlight w:val="none"/>
          <w:lang w:val="en-US" w:eastAsia="zh-CN" w:bidi="ar-SA"/>
        </w:rPr>
      </w:pPr>
      <w:bookmarkStart w:id="64" w:name="_Toc1964"/>
      <w:r>
        <w:rPr>
          <w:rFonts w:hint="eastAsia" w:ascii="宋体" w:hAnsi="Times New Roman" w:eastAsia="宋体" w:cs="Times New Roman"/>
          <w:color w:val="auto"/>
          <w:sz w:val="21"/>
          <w:szCs w:val="22"/>
          <w:highlight w:val="none"/>
          <w:lang w:val="en-US" w:eastAsia="zh-CN" w:bidi="ar-SA"/>
        </w:rPr>
        <w:t>使用网上仲裁云平台，需在平台进行身份认证，通过网络实名认证、人脸识别或线下认证等方式完成身份认证。</w:t>
      </w:r>
      <w:bookmarkEnd w:id="64"/>
    </w:p>
    <w:p>
      <w:pPr>
        <w:pStyle w:val="165"/>
        <w:rPr>
          <w:rFonts w:hint="eastAsia" w:ascii="宋体" w:hAnsi="Times New Roman" w:eastAsia="宋体" w:cs="Times New Roman"/>
          <w:color w:val="auto"/>
          <w:sz w:val="21"/>
          <w:szCs w:val="22"/>
          <w:highlight w:val="none"/>
          <w:lang w:val="en-US" w:eastAsia="zh-CN" w:bidi="ar-SA"/>
        </w:rPr>
      </w:pPr>
      <w:bookmarkStart w:id="65" w:name="_Toc4825"/>
      <w:r>
        <w:rPr>
          <w:rFonts w:hint="eastAsia" w:ascii="宋体" w:hAnsi="Times New Roman" w:eastAsia="宋体" w:cs="Times New Roman"/>
          <w:color w:val="auto"/>
          <w:sz w:val="21"/>
          <w:szCs w:val="22"/>
          <w:highlight w:val="none"/>
          <w:lang w:val="en-US" w:eastAsia="zh-CN" w:bidi="ar-SA"/>
        </w:rPr>
        <w:t>网上仲裁云平台采用符合《中华人民共和国电子签名法》要求的电子认证技术、电子签名技术，保障云平台用户网上身份真实可靠，网上传递信息机密、完整和不可篡改。</w:t>
      </w:r>
      <w:bookmarkEnd w:id="65"/>
    </w:p>
    <w:p>
      <w:pPr>
        <w:pStyle w:val="174"/>
        <w:numPr>
          <w:ilvl w:val="0"/>
          <w:numId w:val="40"/>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仲裁员、仲裁秘书、当事人以及其他仲裁参与人应当向仲裁机构提供真实的主体身份资料、联系方式等信息进行在线身份认证；</w:t>
      </w:r>
    </w:p>
    <w:p>
      <w:pPr>
        <w:pStyle w:val="174"/>
        <w:numPr>
          <w:ilvl w:val="0"/>
          <w:numId w:val="40"/>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国家授权的第三方电子认证机构向仲裁员、仲裁秘书、当事人以及其他仲裁参与人颁发电子签名认证证书，用于云平台的登录与电子数据的电子签名。</w:t>
      </w:r>
    </w:p>
    <w:p>
      <w:pPr>
        <w:pStyle w:val="165"/>
        <w:rPr>
          <w:rFonts w:hint="eastAsia" w:ascii="宋体" w:hAnsi="Times New Roman" w:eastAsia="宋体" w:cs="Times New Roman"/>
          <w:color w:val="auto"/>
          <w:sz w:val="21"/>
          <w:szCs w:val="22"/>
          <w:highlight w:val="none"/>
          <w:lang w:val="en-US" w:eastAsia="zh-CN" w:bidi="ar-SA"/>
        </w:rPr>
      </w:pPr>
      <w:bookmarkStart w:id="66" w:name="_Toc32724"/>
      <w:r>
        <w:rPr>
          <w:rFonts w:hint="eastAsia" w:ascii="宋体" w:hAnsi="Times New Roman" w:eastAsia="宋体" w:cs="Times New Roman"/>
          <w:color w:val="auto"/>
          <w:sz w:val="21"/>
          <w:szCs w:val="22"/>
          <w:highlight w:val="none"/>
          <w:lang w:val="en-US" w:eastAsia="zh-CN" w:bidi="ar-SA"/>
        </w:rPr>
        <w:t>当事人依法授权案外人以当事人名义使用当事人的数字身份标识数据登录云平台发表意见、上传材料并完成电子签名的，视为其本人行为。但因云平台技术原因导致系统错误，或者当事人能够证明云平台账户被盗用的除外。</w:t>
      </w:r>
      <w:bookmarkEnd w:id="66"/>
    </w:p>
    <w:p>
      <w:pPr>
        <w:pStyle w:val="165"/>
        <w:rPr>
          <w:rFonts w:hint="eastAsia" w:ascii="宋体" w:hAnsi="Times New Roman" w:eastAsia="宋体" w:cs="Times New Roman"/>
          <w:color w:val="auto"/>
          <w:sz w:val="21"/>
          <w:szCs w:val="22"/>
          <w:highlight w:val="none"/>
          <w:lang w:val="en-US" w:eastAsia="zh-CN" w:bidi="ar-SA"/>
        </w:rPr>
      </w:pPr>
      <w:bookmarkStart w:id="67" w:name="_Toc23504"/>
      <w:r>
        <w:rPr>
          <w:rFonts w:hint="eastAsia" w:ascii="宋体" w:hAnsi="Times New Roman" w:eastAsia="宋体" w:cs="Times New Roman"/>
          <w:color w:val="auto"/>
          <w:sz w:val="21"/>
          <w:szCs w:val="22"/>
          <w:highlight w:val="none"/>
          <w:lang w:val="en-US" w:eastAsia="zh-CN" w:bidi="ar-SA"/>
        </w:rPr>
        <w:t>当事人采用可靠的电子签名与手写签名或者盖章具有同等法律效力。可靠的电子签名需同时满足以下条件：</w:t>
      </w:r>
      <w:bookmarkEnd w:id="67"/>
    </w:p>
    <w:p>
      <w:pPr>
        <w:pStyle w:val="174"/>
        <w:numPr>
          <w:ilvl w:val="0"/>
          <w:numId w:val="40"/>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电子签名制作数据用于电子签名时，属于电子签名人专有；</w:t>
      </w:r>
    </w:p>
    <w:p>
      <w:pPr>
        <w:pStyle w:val="174"/>
        <w:numPr>
          <w:ilvl w:val="0"/>
          <w:numId w:val="40"/>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签署时电子签名制作数据仅由电子签名人控制；</w:t>
      </w:r>
    </w:p>
    <w:p>
      <w:pPr>
        <w:pStyle w:val="174"/>
        <w:numPr>
          <w:ilvl w:val="0"/>
          <w:numId w:val="40"/>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签署后对电子签名的任何改动能够被发现；</w:t>
      </w:r>
    </w:p>
    <w:p>
      <w:pPr>
        <w:pStyle w:val="174"/>
        <w:numPr>
          <w:ilvl w:val="0"/>
          <w:numId w:val="40"/>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签署后对数据电文内容和形式的任何改动能够被发现。</w:t>
      </w:r>
    </w:p>
    <w:p>
      <w:pPr>
        <w:pStyle w:val="105"/>
        <w:spacing w:before="156" w:after="156"/>
        <w:rPr>
          <w:rFonts w:hint="eastAsia" w:hAnsi="Times New Roman" w:cs="Times New Roman"/>
          <w:color w:val="auto"/>
          <w:lang w:val="en-US" w:eastAsia="zh-CN"/>
        </w:rPr>
      </w:pPr>
      <w:bookmarkStart w:id="68" w:name="_Toc13252"/>
      <w:bookmarkStart w:id="69" w:name="_Toc24087"/>
      <w:r>
        <w:rPr>
          <w:rFonts w:hint="eastAsia" w:hAnsi="Times New Roman" w:cs="Times New Roman"/>
          <w:color w:val="auto"/>
          <w:lang w:val="en-US" w:eastAsia="zh-CN"/>
        </w:rPr>
        <w:t>电子</w:t>
      </w:r>
      <w:r>
        <w:rPr>
          <w:rFonts w:hint="eastAsia" w:cs="Times New Roman"/>
          <w:color w:val="auto"/>
          <w:lang w:val="en-US" w:eastAsia="zh-CN"/>
        </w:rPr>
        <w:t>数据</w:t>
      </w:r>
      <w:r>
        <w:rPr>
          <w:rFonts w:hint="eastAsia" w:hAnsi="Times New Roman" w:cs="Times New Roman"/>
          <w:color w:val="auto"/>
          <w:lang w:val="en-US" w:eastAsia="zh-CN"/>
        </w:rPr>
        <w:t>存证</w:t>
      </w:r>
      <w:bookmarkEnd w:id="68"/>
      <w:bookmarkEnd w:id="69"/>
    </w:p>
    <w:p>
      <w:pPr>
        <w:pStyle w:val="165"/>
        <w:rPr>
          <w:rFonts w:hint="eastAsia" w:ascii="宋体" w:hAnsi="Times New Roman" w:eastAsia="宋体" w:cs="Times New Roman"/>
          <w:color w:val="auto"/>
          <w:sz w:val="21"/>
          <w:szCs w:val="22"/>
          <w:highlight w:val="none"/>
          <w:lang w:val="en-US" w:eastAsia="zh-CN" w:bidi="ar-SA"/>
        </w:rPr>
      </w:pPr>
      <w:bookmarkStart w:id="70" w:name="_Toc10785"/>
      <w:r>
        <w:rPr>
          <w:rFonts w:hint="eastAsia" w:ascii="宋体" w:hAnsi="Times New Roman" w:eastAsia="宋体" w:cs="Times New Roman"/>
          <w:color w:val="auto"/>
          <w:sz w:val="21"/>
          <w:szCs w:val="22"/>
          <w:highlight w:val="none"/>
          <w:lang w:val="en-US" w:eastAsia="zh-CN" w:bidi="ar-SA"/>
        </w:rPr>
        <w:t>电子证据存证采取从用户身份验证到数据创建、存储和传输的全过程记录方式，应用一系列安全技术保证电子数据的私密安全和不可篡改，全方位确保电子数据的真实性、完整性、安全性，并能通过云平台申请公证机构公证，使其具备完整的法律效力。</w:t>
      </w:r>
      <w:bookmarkEnd w:id="70"/>
    </w:p>
    <w:p>
      <w:pPr>
        <w:pStyle w:val="165"/>
        <w:rPr>
          <w:rFonts w:hint="eastAsia" w:ascii="宋体" w:hAnsi="Times New Roman" w:eastAsia="宋体" w:cs="Times New Roman"/>
          <w:color w:val="auto"/>
          <w:sz w:val="21"/>
          <w:szCs w:val="22"/>
          <w:highlight w:val="none"/>
          <w:lang w:val="en-US" w:eastAsia="zh-CN" w:bidi="ar-SA"/>
        </w:rPr>
      </w:pPr>
      <w:bookmarkStart w:id="71" w:name="_Toc18062"/>
      <w:r>
        <w:rPr>
          <w:rFonts w:hint="eastAsia" w:ascii="宋体" w:hAnsi="Times New Roman" w:eastAsia="宋体" w:cs="Times New Roman"/>
          <w:color w:val="auto"/>
          <w:sz w:val="21"/>
          <w:szCs w:val="22"/>
          <w:highlight w:val="none"/>
          <w:lang w:val="en-US" w:eastAsia="zh-CN" w:bidi="ar-SA"/>
        </w:rPr>
        <w:t>当事人应当通过仲裁机构云平台提交证据。电子证据直接提交，非电子证据应当如实转换成能够有形表现所载内容，并能随时调阅的电子数据后提交。当事人可以通过仲裁机构或者仲裁庭委托且双方当事人认可的第三方将非电子证据转换为电子证据。</w:t>
      </w:r>
      <w:bookmarkEnd w:id="71"/>
    </w:p>
    <w:p>
      <w:pPr>
        <w:pStyle w:val="165"/>
        <w:rPr>
          <w:rFonts w:hint="eastAsia" w:ascii="宋体" w:hAnsi="Times New Roman" w:eastAsia="宋体" w:cs="Times New Roman"/>
          <w:color w:val="auto"/>
          <w:sz w:val="21"/>
          <w:szCs w:val="22"/>
          <w:highlight w:val="none"/>
          <w:lang w:val="en-US" w:eastAsia="zh-CN" w:bidi="ar-SA"/>
        </w:rPr>
      </w:pPr>
      <w:bookmarkStart w:id="72" w:name="_Toc17447"/>
      <w:r>
        <w:rPr>
          <w:rFonts w:hint="eastAsia" w:ascii="宋体" w:hAnsi="Times New Roman" w:eastAsia="宋体" w:cs="Times New Roman"/>
          <w:color w:val="auto"/>
          <w:sz w:val="21"/>
          <w:szCs w:val="22"/>
          <w:highlight w:val="none"/>
          <w:lang w:val="en-US" w:eastAsia="zh-CN" w:bidi="ar-SA"/>
        </w:rPr>
        <w:t>仲裁庭可以就案件涉及的相关问题向网上服务提供商、第三方支付平台、电子认证服务机构、电子证据固化提供者以及其他机构调查事实，收集证据。仲裁庭调取的证据，应当交由双方当事人质证。</w:t>
      </w:r>
      <w:bookmarkEnd w:id="72"/>
    </w:p>
    <w:p>
      <w:pPr>
        <w:pStyle w:val="165"/>
        <w:rPr>
          <w:rFonts w:hint="eastAsia" w:ascii="宋体" w:hAnsi="Times New Roman" w:eastAsia="宋体" w:cs="Times New Roman"/>
          <w:color w:val="auto"/>
          <w:sz w:val="21"/>
          <w:szCs w:val="22"/>
          <w:highlight w:val="none"/>
          <w:lang w:val="en-US" w:eastAsia="zh-CN" w:bidi="ar-SA"/>
        </w:rPr>
      </w:pPr>
      <w:bookmarkStart w:id="73" w:name="_Toc7792"/>
      <w:r>
        <w:rPr>
          <w:rFonts w:hint="eastAsia" w:ascii="宋体" w:hAnsi="Times New Roman" w:eastAsia="宋体" w:cs="Times New Roman"/>
          <w:color w:val="auto"/>
          <w:sz w:val="21"/>
          <w:szCs w:val="22"/>
          <w:highlight w:val="none"/>
          <w:lang w:val="en-US" w:eastAsia="zh-CN" w:bidi="ar-SA"/>
        </w:rPr>
        <w:t>仲裁庭应当审查电子数据的真实性、合法性、关联性，并依据相关法律规定，结合网上交易习惯，综合运用逻辑推理和日常生活经验法则，对电子数据进行综合认定。</w:t>
      </w:r>
      <w:bookmarkEnd w:id="73"/>
    </w:p>
    <w:p>
      <w:pPr>
        <w:pStyle w:val="165"/>
        <w:rPr>
          <w:rFonts w:hint="eastAsia" w:ascii="宋体" w:hAnsi="Times New Roman" w:eastAsia="宋体" w:cs="Times New Roman"/>
          <w:color w:val="auto"/>
          <w:sz w:val="21"/>
          <w:szCs w:val="22"/>
          <w:highlight w:val="none"/>
          <w:lang w:val="en-US" w:eastAsia="zh-CN" w:bidi="ar-SA"/>
        </w:rPr>
      </w:pPr>
      <w:bookmarkStart w:id="74" w:name="_Toc29516"/>
      <w:r>
        <w:rPr>
          <w:rFonts w:hint="eastAsia" w:ascii="宋体" w:hAnsi="Times New Roman" w:eastAsia="宋体" w:cs="Times New Roman"/>
          <w:color w:val="auto"/>
          <w:sz w:val="21"/>
          <w:szCs w:val="22"/>
          <w:highlight w:val="none"/>
          <w:lang w:val="en-US" w:eastAsia="zh-CN" w:bidi="ar-SA"/>
        </w:rPr>
        <w:t>审查电子数据的真实性，应当考虑以下因素：</w:t>
      </w:r>
      <w:bookmarkEnd w:id="74"/>
    </w:p>
    <w:p>
      <w:pPr>
        <w:pStyle w:val="174"/>
        <w:numPr>
          <w:ilvl w:val="0"/>
          <w:numId w:val="41"/>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电子数据生成、收集、存储、传输所依赖的计算机系统等硬件、软件环境是否安全、可靠；</w:t>
      </w:r>
    </w:p>
    <w:p>
      <w:pPr>
        <w:pStyle w:val="174"/>
        <w:numPr>
          <w:ilvl w:val="0"/>
          <w:numId w:val="41"/>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电子数据生成主体和实践是否明确，表现内容是否清晰、客观、准确；</w:t>
      </w:r>
    </w:p>
    <w:p>
      <w:pPr>
        <w:pStyle w:val="174"/>
        <w:numPr>
          <w:ilvl w:val="0"/>
          <w:numId w:val="41"/>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电子数据的存储、保管介质是否明确，保管方式和手段是否妥当；</w:t>
      </w:r>
    </w:p>
    <w:p>
      <w:pPr>
        <w:pStyle w:val="174"/>
        <w:numPr>
          <w:ilvl w:val="0"/>
          <w:numId w:val="41"/>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电子数据提取和固定的主体、工具和方式是否可靠；</w:t>
      </w:r>
    </w:p>
    <w:p>
      <w:pPr>
        <w:pStyle w:val="174"/>
        <w:numPr>
          <w:ilvl w:val="0"/>
          <w:numId w:val="41"/>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电子数据的内容是否存在增加、删减、修改及不完整等情形；</w:t>
      </w:r>
    </w:p>
    <w:p>
      <w:pPr>
        <w:pStyle w:val="174"/>
        <w:numPr>
          <w:ilvl w:val="0"/>
          <w:numId w:val="41"/>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电子数据是否可以通过特定形式得到验证；</w:t>
      </w:r>
    </w:p>
    <w:p>
      <w:pPr>
        <w:pStyle w:val="174"/>
        <w:numPr>
          <w:ilvl w:val="0"/>
          <w:numId w:val="41"/>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其他相关因素。</w:t>
      </w:r>
      <w:bookmarkStart w:id="75" w:name="_Toc29375"/>
    </w:p>
    <w:p>
      <w:pPr>
        <w:pStyle w:val="165"/>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采取以下方式之一的电子数据视为原件：</w:t>
      </w:r>
      <w:bookmarkEnd w:id="75"/>
    </w:p>
    <w:p>
      <w:pPr>
        <w:pStyle w:val="174"/>
        <w:numPr>
          <w:ilvl w:val="0"/>
          <w:numId w:val="42"/>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电子数据生成时向公证机构申请公证；</w:t>
      </w:r>
    </w:p>
    <w:p>
      <w:pPr>
        <w:pStyle w:val="174"/>
        <w:numPr>
          <w:ilvl w:val="0"/>
          <w:numId w:val="42"/>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电子数据生成时经由符合《中华人民共和国电子签名法》要求的电子签名进行有效签名的；</w:t>
      </w:r>
    </w:p>
    <w:p>
      <w:pPr>
        <w:pStyle w:val="174"/>
        <w:numPr>
          <w:ilvl w:val="0"/>
          <w:numId w:val="42"/>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电子数据自生成时，符合《中华人民共和国电子签名法》中关于电子数据原件及书面形式的规定，并且经过可靠的存储和保护措施；</w:t>
      </w:r>
    </w:p>
    <w:p>
      <w:pPr>
        <w:pStyle w:val="174"/>
        <w:numPr>
          <w:ilvl w:val="0"/>
          <w:numId w:val="42"/>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其他能够保证自形成时，内容保持完整，未被更改的电子数据。</w:t>
      </w:r>
    </w:p>
    <w:p>
      <w:pPr>
        <w:pStyle w:val="165"/>
        <w:rPr>
          <w:rFonts w:hint="eastAsia" w:ascii="宋体" w:hAnsi="Times New Roman" w:eastAsia="宋体" w:cs="Times New Roman"/>
          <w:color w:val="auto"/>
          <w:sz w:val="21"/>
          <w:szCs w:val="22"/>
          <w:highlight w:val="none"/>
          <w:lang w:val="en-US" w:eastAsia="zh-CN" w:bidi="ar-SA"/>
        </w:rPr>
      </w:pPr>
      <w:bookmarkStart w:id="76" w:name="_Toc16066"/>
      <w:r>
        <w:rPr>
          <w:rFonts w:hint="eastAsia" w:ascii="宋体" w:hAnsi="Times New Roman" w:eastAsia="宋体" w:cs="Times New Roman"/>
          <w:color w:val="auto"/>
          <w:sz w:val="21"/>
          <w:szCs w:val="22"/>
          <w:highlight w:val="none"/>
          <w:lang w:val="en-US" w:eastAsia="zh-CN" w:bidi="ar-SA"/>
        </w:rPr>
        <w:t>电子数据采用电子签名认证证书进行数字签名的，仲裁庭应当对电子认证服务机构的合规性、安全性进行必要的审查。</w:t>
      </w:r>
      <w:bookmarkEnd w:id="76"/>
    </w:p>
    <w:p>
      <w:pPr>
        <w:pStyle w:val="165"/>
        <w:rPr>
          <w:rFonts w:hint="eastAsia" w:ascii="宋体" w:hAnsi="Times New Roman" w:eastAsia="宋体" w:cs="Times New Roman"/>
          <w:color w:val="auto"/>
          <w:sz w:val="21"/>
          <w:szCs w:val="22"/>
          <w:highlight w:val="none"/>
          <w:lang w:val="en-US" w:eastAsia="zh-CN" w:bidi="ar-SA"/>
        </w:rPr>
      </w:pPr>
      <w:bookmarkStart w:id="77" w:name="_Toc28242"/>
      <w:r>
        <w:rPr>
          <w:rFonts w:hint="eastAsia" w:ascii="宋体" w:hAnsi="Times New Roman" w:eastAsia="宋体" w:cs="Times New Roman"/>
          <w:color w:val="auto"/>
          <w:sz w:val="21"/>
          <w:szCs w:val="22"/>
          <w:highlight w:val="none"/>
          <w:lang w:val="en-US" w:eastAsia="zh-CN" w:bidi="ar-SA"/>
        </w:rPr>
        <w:t>当事人可以申请具有专门知识的人就电子数据技术问题提出意见。仲裁庭可以调取其他证据进行核对或者委托鉴定机构鉴定电子数据的真实性。</w:t>
      </w:r>
      <w:bookmarkEnd w:id="77"/>
    </w:p>
    <w:p>
      <w:pPr>
        <w:pStyle w:val="105"/>
        <w:spacing w:before="156" w:after="156"/>
        <w:rPr>
          <w:rFonts w:hint="eastAsia" w:hAnsi="Times New Roman" w:cs="Times New Roman"/>
          <w:color w:val="auto"/>
          <w:lang w:val="en-US" w:eastAsia="zh-CN"/>
        </w:rPr>
      </w:pPr>
      <w:bookmarkStart w:id="78" w:name="_Toc3272"/>
      <w:bookmarkStart w:id="79" w:name="_Toc1865"/>
      <w:r>
        <w:rPr>
          <w:rFonts w:hint="eastAsia" w:hAnsi="Times New Roman" w:cs="Times New Roman"/>
          <w:color w:val="auto"/>
          <w:lang w:val="en-US" w:eastAsia="zh-CN"/>
        </w:rPr>
        <w:t>当事人信息使用</w:t>
      </w:r>
      <w:bookmarkEnd w:id="78"/>
      <w:bookmarkEnd w:id="79"/>
    </w:p>
    <w:p>
      <w:pPr>
        <w:pStyle w:val="165"/>
        <w:rPr>
          <w:rFonts w:hint="eastAsia" w:ascii="宋体" w:hAnsi="Times New Roman" w:eastAsia="宋体" w:cs="Times New Roman"/>
          <w:color w:val="auto"/>
          <w:sz w:val="21"/>
          <w:szCs w:val="22"/>
          <w:highlight w:val="none"/>
          <w:lang w:val="en-US" w:eastAsia="zh-CN" w:bidi="ar-SA"/>
        </w:rPr>
      </w:pPr>
      <w:bookmarkStart w:id="80" w:name="_Toc12841"/>
      <w:r>
        <w:rPr>
          <w:rFonts w:hint="eastAsia" w:ascii="宋体" w:hAnsi="Times New Roman" w:eastAsia="宋体" w:cs="Times New Roman"/>
          <w:color w:val="auto"/>
          <w:sz w:val="21"/>
          <w:szCs w:val="22"/>
          <w:highlight w:val="none"/>
          <w:lang w:val="en-US" w:eastAsia="zh-CN" w:bidi="ar-SA"/>
        </w:rPr>
        <w:t>仲裁机构通过仲裁云平台，为当事人、仲裁员和仲裁机构之间案件数据的在线传输提供安全保障，并采取为案件数据信息加密的形式为案件信息保密。</w:t>
      </w:r>
      <w:bookmarkEnd w:id="80"/>
    </w:p>
    <w:p>
      <w:pPr>
        <w:pStyle w:val="165"/>
        <w:rPr>
          <w:rFonts w:hint="eastAsia" w:ascii="宋体" w:hAnsi="Times New Roman" w:eastAsia="宋体" w:cs="Times New Roman"/>
          <w:color w:val="auto"/>
          <w:sz w:val="21"/>
          <w:szCs w:val="22"/>
          <w:highlight w:val="none"/>
          <w:lang w:val="en-US" w:eastAsia="zh-CN" w:bidi="ar-SA"/>
        </w:rPr>
      </w:pPr>
      <w:bookmarkStart w:id="81" w:name="_Toc26410"/>
      <w:r>
        <w:rPr>
          <w:rFonts w:hint="eastAsia" w:ascii="宋体" w:hAnsi="Times New Roman" w:eastAsia="宋体" w:cs="Times New Roman"/>
          <w:color w:val="auto"/>
          <w:sz w:val="21"/>
          <w:szCs w:val="22"/>
          <w:highlight w:val="none"/>
          <w:lang w:val="en-US" w:eastAsia="zh-CN" w:bidi="ar-SA"/>
        </w:rPr>
        <w:t>电子证据存证采取从用户身份验证到数据创建、存储和传输的全过程记录方式，应用一系列安全技术保证电子数据的私密安全和不可篡改，全方位确保电子数据的真实性、完整性、安全性，并能通过云平台申请公证机构公证，使其具备完整的法律效力。</w:t>
      </w:r>
      <w:bookmarkEnd w:id="81"/>
      <w:r>
        <w:rPr>
          <w:rFonts w:hint="eastAsia" w:ascii="宋体" w:hAnsi="Times New Roman" w:eastAsia="宋体" w:cs="Times New Roman"/>
          <w:color w:val="auto"/>
          <w:sz w:val="21"/>
          <w:szCs w:val="22"/>
          <w:highlight w:val="none"/>
          <w:lang w:val="en-US" w:eastAsia="zh-CN" w:bidi="ar-SA"/>
        </w:rPr>
        <w:t>同时，确保用户的个人隐私得到充分保护。</w:t>
      </w:r>
    </w:p>
    <w:p>
      <w:pPr>
        <w:pStyle w:val="105"/>
        <w:spacing w:before="156" w:after="156"/>
        <w:rPr>
          <w:rFonts w:hint="default" w:hAnsi="Times New Roman" w:cs="Times New Roman"/>
          <w:color w:val="auto"/>
          <w:lang w:val="en-US" w:eastAsia="zh-CN"/>
        </w:rPr>
      </w:pPr>
      <w:bookmarkStart w:id="82" w:name="_Toc28272"/>
      <w:bookmarkStart w:id="83" w:name="_Toc8803"/>
      <w:r>
        <w:rPr>
          <w:rFonts w:hint="eastAsia" w:hAnsi="Times New Roman" w:cs="Times New Roman"/>
          <w:color w:val="auto"/>
          <w:lang w:val="en-US" w:eastAsia="zh-CN"/>
        </w:rPr>
        <w:t>立案</w:t>
      </w:r>
      <w:bookmarkEnd w:id="82"/>
      <w:bookmarkEnd w:id="83"/>
    </w:p>
    <w:p>
      <w:pPr>
        <w:pStyle w:val="165"/>
        <w:rPr>
          <w:rFonts w:hint="eastAsia" w:ascii="宋体" w:hAnsi="Times New Roman" w:eastAsia="宋体" w:cs="Times New Roman"/>
          <w:color w:val="auto"/>
          <w:sz w:val="21"/>
          <w:szCs w:val="22"/>
          <w:highlight w:val="none"/>
          <w:lang w:val="en-US" w:eastAsia="zh-CN" w:bidi="ar-SA"/>
        </w:rPr>
      </w:pPr>
      <w:bookmarkStart w:id="84" w:name="_Toc17653"/>
      <w:r>
        <w:rPr>
          <w:rFonts w:hint="eastAsia" w:ascii="宋体" w:hAnsi="Times New Roman" w:eastAsia="宋体" w:cs="Times New Roman"/>
          <w:color w:val="auto"/>
          <w:sz w:val="21"/>
          <w:szCs w:val="22"/>
          <w:highlight w:val="none"/>
          <w:lang w:val="en-US" w:eastAsia="zh-CN" w:bidi="ar-SA"/>
        </w:rPr>
        <w:t>申请人通过网上仲裁云平台提交仲裁申请，仲裁秘书应及时完成审核工作，并作出受理或者不予受理的决定，审核具体内容包括：</w:t>
      </w:r>
      <w:bookmarkEnd w:id="84"/>
    </w:p>
    <w:p>
      <w:pPr>
        <w:pStyle w:val="174"/>
        <w:numPr>
          <w:ilvl w:val="0"/>
          <w:numId w:val="42"/>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材料完整性。审核内容包括但不限于：（1）主体资格；（2）仲裁请求。审核仲裁请求的明确性，请求不明确的，应退回申请，通知申请人补充明确后重新提交；（3）证据。审核争议产生的电子合同、履行情况等，重点审查合同双方当事人电子签名、电子数据形成时间等；对于电子化的纸质证据材料，在案件审理阶段审核原件；（4）电子签名。审核仲裁申请书电子签名完整性。</w:t>
      </w:r>
    </w:p>
    <w:p>
      <w:pPr>
        <w:pStyle w:val="174"/>
        <w:numPr>
          <w:ilvl w:val="0"/>
          <w:numId w:val="42"/>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案件基本要素信息。审核内容包括但不限于当事人基本信息、代理人基本信息、争议合同履行基本信息、组庭方式及开庭方式、仲裁费用等。</w:t>
      </w:r>
    </w:p>
    <w:p>
      <w:pPr>
        <w:pStyle w:val="174"/>
        <w:numPr>
          <w:ilvl w:val="0"/>
          <w:numId w:val="42"/>
        </w:numPr>
        <w:rPr>
          <w:rFonts w:hint="eastAsia" w:ascii="宋体" w:hAnsi="Times New Roman" w:eastAsia="宋体" w:cs="Times New Roman"/>
          <w:color w:val="auto"/>
          <w:sz w:val="21"/>
          <w:lang w:val="en-US" w:eastAsia="zh-CN" w:bidi="ar-SA"/>
        </w:rPr>
      </w:pPr>
      <w:r>
        <w:rPr>
          <w:rFonts w:hint="eastAsia" w:ascii="宋体" w:hAnsi="Times New Roman" w:eastAsia="宋体" w:cs="Times New Roman"/>
          <w:color w:val="auto"/>
          <w:sz w:val="21"/>
          <w:lang w:val="en-US" w:eastAsia="zh-CN" w:bidi="ar-SA"/>
        </w:rPr>
        <w:t>仲裁费用信息。审核内容包括仲裁争议标的额、仲裁费计收是否符合规定等。</w:t>
      </w:r>
    </w:p>
    <w:p>
      <w:pPr>
        <w:pStyle w:val="165"/>
        <w:rPr>
          <w:rFonts w:hint="eastAsia" w:ascii="宋体" w:hAnsi="Times New Roman" w:eastAsia="宋体" w:cs="Times New Roman"/>
          <w:color w:val="auto"/>
          <w:sz w:val="21"/>
          <w:szCs w:val="22"/>
          <w:highlight w:val="none"/>
          <w:lang w:val="en-US" w:eastAsia="zh-CN" w:bidi="ar-SA"/>
        </w:rPr>
      </w:pPr>
      <w:bookmarkStart w:id="85" w:name="_Toc30653"/>
      <w:r>
        <w:rPr>
          <w:rFonts w:hint="eastAsia" w:ascii="宋体" w:hAnsi="Times New Roman" w:eastAsia="宋体" w:cs="Times New Roman"/>
          <w:color w:val="auto"/>
          <w:sz w:val="21"/>
          <w:szCs w:val="22"/>
          <w:highlight w:val="none"/>
          <w:lang w:val="en-US" w:eastAsia="zh-CN" w:bidi="ar-SA"/>
        </w:rPr>
        <w:t>经审查符合收案标准的，仲裁秘书向申请人送达缴费通知书，通知申请人及时完成缴费。</w:t>
      </w:r>
      <w:bookmarkEnd w:id="85"/>
    </w:p>
    <w:p>
      <w:pPr>
        <w:pStyle w:val="165"/>
        <w:rPr>
          <w:rFonts w:hint="eastAsia" w:ascii="宋体" w:hAnsi="Times New Roman" w:eastAsia="宋体" w:cs="Times New Roman"/>
          <w:color w:val="auto"/>
          <w:sz w:val="21"/>
          <w:szCs w:val="22"/>
          <w:highlight w:val="none"/>
          <w:lang w:val="en-US" w:eastAsia="zh-CN" w:bidi="ar-SA"/>
        </w:rPr>
      </w:pPr>
      <w:bookmarkStart w:id="86" w:name="_Toc2657"/>
      <w:r>
        <w:rPr>
          <w:rFonts w:hint="eastAsia" w:ascii="宋体" w:hAnsi="Times New Roman" w:eastAsia="宋体" w:cs="Times New Roman"/>
          <w:color w:val="auto"/>
          <w:sz w:val="21"/>
          <w:szCs w:val="22"/>
          <w:highlight w:val="none"/>
          <w:lang w:val="en-US" w:eastAsia="zh-CN" w:bidi="ar-SA"/>
        </w:rPr>
        <w:t>在申请人完成缴费并上传缴费凭证后仲裁秘书即可受理案件，受理案件时秘书需要根据案件情况选择组庭方式及开庭方式。受理案件后仲裁秘书向申请人发送受理通知，向被申请人发送仲裁通知，并通过网上仲裁协议或仲裁条款中约定的手机号、传真、电子邮箱、即时通讯账号等，通知被申请人登录云平台查看案件。双方当事人通过云平台了解案件信息，接收和提交材料，实施仲裁行为。</w:t>
      </w:r>
      <w:bookmarkEnd w:id="86"/>
    </w:p>
    <w:p>
      <w:pPr>
        <w:pStyle w:val="105"/>
        <w:spacing w:before="156" w:after="156"/>
        <w:rPr>
          <w:rFonts w:hint="default" w:hAnsi="Times New Roman" w:cs="Times New Roman"/>
          <w:color w:val="auto"/>
          <w:lang w:val="en-US" w:eastAsia="zh-CN"/>
        </w:rPr>
      </w:pPr>
      <w:bookmarkStart w:id="87" w:name="_Toc8750"/>
      <w:bookmarkStart w:id="88" w:name="_Toc4915"/>
      <w:r>
        <w:rPr>
          <w:rFonts w:hint="eastAsia" w:hAnsi="Times New Roman" w:cs="Times New Roman"/>
          <w:color w:val="auto"/>
          <w:lang w:val="en-US" w:eastAsia="zh-CN"/>
        </w:rPr>
        <w:t>组庭</w:t>
      </w:r>
      <w:bookmarkEnd w:id="87"/>
      <w:bookmarkEnd w:id="88"/>
    </w:p>
    <w:p>
      <w:pPr>
        <w:pStyle w:val="165"/>
        <w:rPr>
          <w:rFonts w:hint="eastAsia" w:ascii="宋体" w:hAnsi="Times New Roman" w:eastAsia="宋体" w:cs="Times New Roman"/>
          <w:color w:val="auto"/>
          <w:sz w:val="21"/>
          <w:szCs w:val="22"/>
          <w:highlight w:val="none"/>
          <w:lang w:val="en-US" w:eastAsia="zh-CN" w:bidi="ar-SA"/>
        </w:rPr>
      </w:pPr>
      <w:bookmarkStart w:id="89" w:name="_Toc14729"/>
      <w:r>
        <w:rPr>
          <w:rFonts w:hint="eastAsia" w:ascii="宋体" w:hAnsi="Times New Roman" w:eastAsia="宋体" w:cs="Times New Roman"/>
          <w:color w:val="auto"/>
          <w:sz w:val="21"/>
          <w:szCs w:val="22"/>
          <w:highlight w:val="none"/>
          <w:lang w:val="en-US" w:eastAsia="zh-CN" w:bidi="ar-SA"/>
        </w:rPr>
        <w:t>除当事人另有约定或仲裁机构认为案件属于重大、疑难复杂案件，需要组成合议庭审理的以外，网上仲裁案件一般由一名仲裁员组成独任仲裁庭审理。</w:t>
      </w:r>
      <w:bookmarkEnd w:id="89"/>
    </w:p>
    <w:p>
      <w:pPr>
        <w:pStyle w:val="165"/>
        <w:rPr>
          <w:rFonts w:hint="eastAsia" w:ascii="宋体" w:hAnsi="Times New Roman" w:eastAsia="宋体" w:cs="Times New Roman"/>
          <w:color w:val="auto"/>
          <w:sz w:val="21"/>
          <w:szCs w:val="22"/>
          <w:highlight w:val="none"/>
          <w:lang w:val="en-US" w:eastAsia="zh-CN" w:bidi="ar-SA"/>
        </w:rPr>
      </w:pPr>
      <w:bookmarkStart w:id="90" w:name="_Toc11624"/>
      <w:r>
        <w:rPr>
          <w:rFonts w:hint="eastAsia" w:ascii="宋体" w:hAnsi="Times New Roman" w:eastAsia="宋体" w:cs="Times New Roman"/>
          <w:color w:val="auto"/>
          <w:sz w:val="21"/>
          <w:szCs w:val="22"/>
          <w:highlight w:val="none"/>
          <w:lang w:val="en-US" w:eastAsia="zh-CN" w:bidi="ar-SA"/>
        </w:rPr>
        <w:t>双方当事人在网上仲裁协议或者仲裁条款中约定由仲裁机构主任指定仲裁员审理案件的，按照以下流程完成组庭程序：</w:t>
      </w:r>
      <w:bookmarkEnd w:id="90"/>
    </w:p>
    <w:p>
      <w:pPr>
        <w:pStyle w:val="174"/>
        <w:numPr>
          <w:ilvl w:val="0"/>
          <w:numId w:val="43"/>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仲裁秘书受理案件。</w:t>
      </w:r>
    </w:p>
    <w:p>
      <w:pPr>
        <w:pStyle w:val="174"/>
        <w:numPr>
          <w:ilvl w:val="0"/>
          <w:numId w:val="43"/>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仲裁机构主任指定仲裁员。</w:t>
      </w:r>
    </w:p>
    <w:p>
      <w:pPr>
        <w:pStyle w:val="174"/>
        <w:numPr>
          <w:ilvl w:val="0"/>
          <w:numId w:val="43"/>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仲裁员在接受指定24小时内签发声明书。</w:t>
      </w:r>
    </w:p>
    <w:p>
      <w:pPr>
        <w:pStyle w:val="174"/>
        <w:numPr>
          <w:ilvl w:val="0"/>
          <w:numId w:val="43"/>
        </w:numPr>
        <w:rPr>
          <w:rFonts w:hint="default"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仲裁秘书自签发声明书之时起即时向双方当事人发送组庭通知。</w:t>
      </w:r>
    </w:p>
    <w:p>
      <w:pPr>
        <w:pStyle w:val="165"/>
        <w:ind w:left="-199" w:leftChars="-95" w:firstLine="0" w:firstLineChars="0"/>
        <w:rPr>
          <w:rFonts w:hint="eastAsia" w:ascii="宋体" w:hAnsi="Times New Roman" w:eastAsia="宋体" w:cs="Times New Roman"/>
          <w:color w:val="auto"/>
          <w:sz w:val="21"/>
          <w:szCs w:val="22"/>
          <w:highlight w:val="none"/>
          <w:lang w:val="en-US" w:eastAsia="zh-CN" w:bidi="ar-SA"/>
        </w:rPr>
      </w:pPr>
      <w:bookmarkStart w:id="91" w:name="_Toc24937"/>
      <w:r>
        <w:rPr>
          <w:rFonts w:hint="eastAsia" w:ascii="宋体" w:hAnsi="Times New Roman" w:eastAsia="宋体" w:cs="Times New Roman"/>
          <w:color w:val="auto"/>
          <w:sz w:val="21"/>
          <w:szCs w:val="22"/>
          <w:highlight w:val="none"/>
          <w:lang w:val="en-US" w:eastAsia="zh-CN" w:bidi="ar-SA"/>
        </w:rPr>
        <w:t>双方当事人在网上仲裁协议或者仲裁条款中约定由一名特定仲裁员审理案件的，按照以下流程完成组庭程序：</w:t>
      </w:r>
      <w:bookmarkEnd w:id="91"/>
    </w:p>
    <w:p>
      <w:pPr>
        <w:pStyle w:val="174"/>
        <w:numPr>
          <w:ilvl w:val="0"/>
          <w:numId w:val="44"/>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仲裁秘书受理案件。</w:t>
      </w:r>
    </w:p>
    <w:p>
      <w:pPr>
        <w:pStyle w:val="174"/>
        <w:numPr>
          <w:ilvl w:val="0"/>
          <w:numId w:val="44"/>
        </w:numPr>
        <w:rPr>
          <w:rFonts w:hint="eastAsia" w:ascii="宋体" w:hAnsi="Times New Roman" w:eastAsia="宋体" w:cs="Times New Roman"/>
          <w:color w:val="auto"/>
          <w:lang w:val="en-US" w:eastAsia="zh-CN"/>
        </w:rPr>
      </w:pPr>
      <w:r>
        <w:rPr>
          <w:rFonts w:hint="default" w:ascii="宋体" w:hAnsi="Times New Roman" w:eastAsia="宋体" w:cs="Times New Roman"/>
          <w:color w:val="auto"/>
          <w:lang w:val="en-US" w:eastAsia="zh-CN"/>
        </w:rPr>
        <w:t>仲裁秘书告知该名仲裁员选定事宜</w:t>
      </w:r>
      <w:r>
        <w:rPr>
          <w:rFonts w:hint="eastAsia" w:ascii="宋体" w:hAnsi="Times New Roman" w:eastAsia="宋体" w:cs="Times New Roman"/>
          <w:color w:val="auto"/>
          <w:lang w:val="en-US" w:eastAsia="zh-CN"/>
        </w:rPr>
        <w:t>。</w:t>
      </w:r>
    </w:p>
    <w:p>
      <w:pPr>
        <w:pStyle w:val="174"/>
        <w:numPr>
          <w:ilvl w:val="0"/>
          <w:numId w:val="44"/>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仲裁机构主任指定该名仲裁员审理案件。</w:t>
      </w:r>
    </w:p>
    <w:p>
      <w:pPr>
        <w:pStyle w:val="174"/>
        <w:numPr>
          <w:ilvl w:val="0"/>
          <w:numId w:val="44"/>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仲裁员在接受指定之时24小时内签发声明。</w:t>
      </w:r>
    </w:p>
    <w:p>
      <w:pPr>
        <w:pStyle w:val="174"/>
        <w:numPr>
          <w:ilvl w:val="0"/>
          <w:numId w:val="44"/>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仲裁秘书自签发声明书之时起即时向双方当事人发送组庭通知。</w:t>
      </w:r>
    </w:p>
    <w:p>
      <w:pPr>
        <w:pStyle w:val="165"/>
        <w:ind w:left="-199" w:leftChars="-95" w:firstLine="0" w:firstLineChars="0"/>
        <w:rPr>
          <w:rFonts w:hint="eastAsia" w:ascii="宋体" w:hAnsi="Times New Roman" w:eastAsia="宋体" w:cs="Times New Roman"/>
          <w:color w:val="auto"/>
          <w:sz w:val="21"/>
          <w:szCs w:val="22"/>
          <w:highlight w:val="none"/>
          <w:lang w:val="en-US" w:eastAsia="zh-CN" w:bidi="ar-SA"/>
        </w:rPr>
      </w:pPr>
      <w:bookmarkStart w:id="92" w:name="_Toc7740"/>
      <w:r>
        <w:rPr>
          <w:rFonts w:hint="eastAsia" w:ascii="宋体" w:hAnsi="Times New Roman" w:eastAsia="宋体" w:cs="Times New Roman"/>
          <w:color w:val="auto"/>
          <w:sz w:val="21"/>
          <w:szCs w:val="22"/>
          <w:highlight w:val="none"/>
          <w:lang w:val="en-US" w:eastAsia="zh-CN" w:bidi="ar-SA"/>
        </w:rPr>
        <w:t>双方当事人在网上仲裁协议或者仲裁条款中没有约定由仲裁机构主任指定仲裁员或者没有约定特定仲裁员审理案件的，按照以下流程完成组庭程序：</w:t>
      </w:r>
      <w:bookmarkEnd w:id="92"/>
    </w:p>
    <w:p>
      <w:pPr>
        <w:pStyle w:val="174"/>
        <w:numPr>
          <w:ilvl w:val="0"/>
          <w:numId w:val="45"/>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仲裁秘书受理案件。</w:t>
      </w:r>
    </w:p>
    <w:p>
      <w:pPr>
        <w:pStyle w:val="174"/>
        <w:numPr>
          <w:ilvl w:val="0"/>
          <w:numId w:val="45"/>
        </w:numPr>
        <w:rPr>
          <w:rFonts w:hint="eastAsia" w:ascii="宋体" w:hAnsi="Times New Roman" w:eastAsia="宋体" w:cs="Times New Roman"/>
          <w:color w:val="auto"/>
          <w:lang w:val="en-US" w:eastAsia="zh-CN"/>
        </w:rPr>
      </w:pPr>
      <w:r>
        <w:rPr>
          <w:rFonts w:hint="default" w:ascii="宋体" w:hAnsi="Times New Roman" w:eastAsia="宋体" w:cs="Times New Roman"/>
          <w:color w:val="auto"/>
          <w:lang w:val="en-US" w:eastAsia="zh-CN"/>
        </w:rPr>
        <w:t>自受理案件之时起即时向双方当事人发送选定仲裁员通知</w:t>
      </w:r>
      <w:r>
        <w:rPr>
          <w:rFonts w:hint="eastAsia" w:ascii="宋体" w:hAnsi="Times New Roman" w:eastAsia="宋体" w:cs="Times New Roman"/>
          <w:color w:val="auto"/>
          <w:lang w:val="en-US" w:eastAsia="zh-CN"/>
        </w:rPr>
        <w:t>。</w:t>
      </w:r>
    </w:p>
    <w:p>
      <w:pPr>
        <w:pStyle w:val="174"/>
        <w:numPr>
          <w:ilvl w:val="0"/>
          <w:numId w:val="45"/>
        </w:numPr>
        <w:rPr>
          <w:rFonts w:hint="eastAsia" w:ascii="宋体" w:hAnsi="Times New Roman" w:eastAsia="宋体" w:cs="Times New Roman"/>
          <w:color w:val="auto"/>
          <w:lang w:val="en-US" w:eastAsia="zh-CN"/>
        </w:rPr>
      </w:pPr>
      <w:r>
        <w:rPr>
          <w:rFonts w:hint="default" w:ascii="宋体" w:hAnsi="Times New Roman" w:eastAsia="宋体" w:cs="Times New Roman"/>
          <w:color w:val="auto"/>
          <w:lang w:val="en-US" w:eastAsia="zh-CN"/>
        </w:rPr>
        <w:t>双方当事人在规定时间内选择仲裁员</w:t>
      </w:r>
      <w:r>
        <w:rPr>
          <w:rFonts w:hint="eastAsia" w:ascii="宋体" w:hAnsi="Times New Roman" w:eastAsia="宋体" w:cs="Times New Roman"/>
          <w:color w:val="auto"/>
          <w:lang w:val="en-US" w:eastAsia="zh-CN"/>
        </w:rPr>
        <w:t>。</w:t>
      </w:r>
    </w:p>
    <w:p>
      <w:pPr>
        <w:pStyle w:val="174"/>
        <w:numPr>
          <w:ilvl w:val="0"/>
          <w:numId w:val="45"/>
        </w:numPr>
        <w:rPr>
          <w:rFonts w:hint="eastAsia" w:ascii="宋体" w:hAnsi="Times New Roman" w:eastAsia="宋体" w:cs="Times New Roman"/>
          <w:color w:val="auto"/>
          <w:lang w:val="en-US" w:eastAsia="zh-CN"/>
        </w:rPr>
      </w:pPr>
      <w:r>
        <w:rPr>
          <w:rFonts w:hint="default" w:ascii="宋体" w:hAnsi="Times New Roman" w:eastAsia="宋体" w:cs="Times New Roman"/>
          <w:color w:val="auto"/>
          <w:lang w:val="en-US" w:eastAsia="zh-CN"/>
        </w:rPr>
        <w:t>仲裁秘书跟进双方当事人选定情况</w:t>
      </w:r>
      <w:r>
        <w:rPr>
          <w:rFonts w:hint="eastAsia" w:ascii="宋体" w:hAnsi="Times New Roman" w:eastAsia="宋体" w:cs="Times New Roman"/>
          <w:color w:val="auto"/>
          <w:lang w:val="en-US" w:eastAsia="zh-CN"/>
        </w:rPr>
        <w:t>。</w:t>
      </w:r>
    </w:p>
    <w:p>
      <w:pPr>
        <w:pStyle w:val="174"/>
        <w:numPr>
          <w:ilvl w:val="0"/>
          <w:numId w:val="45"/>
        </w:numPr>
        <w:rPr>
          <w:rFonts w:hint="eastAsia" w:ascii="宋体" w:hAnsi="Times New Roman" w:eastAsia="宋体" w:cs="Times New Roman"/>
          <w:color w:val="auto"/>
          <w:lang w:val="en-US" w:eastAsia="zh-CN"/>
        </w:rPr>
      </w:pPr>
      <w:r>
        <w:rPr>
          <w:rFonts w:hint="default" w:ascii="宋体" w:hAnsi="Times New Roman" w:eastAsia="宋体" w:cs="Times New Roman"/>
          <w:color w:val="auto"/>
          <w:lang w:val="en-US" w:eastAsia="zh-CN"/>
        </w:rPr>
        <w:t>仲裁机构主任根据双方当事人选定情况确定仲裁员审理</w:t>
      </w:r>
      <w:r>
        <w:rPr>
          <w:rFonts w:hint="eastAsia" w:ascii="宋体" w:hAnsi="Times New Roman" w:eastAsia="宋体" w:cs="Times New Roman"/>
          <w:color w:val="auto"/>
          <w:lang w:val="en-US" w:eastAsia="zh-CN"/>
        </w:rPr>
        <w:t>。</w:t>
      </w:r>
    </w:p>
    <w:p>
      <w:pPr>
        <w:pStyle w:val="174"/>
        <w:numPr>
          <w:ilvl w:val="0"/>
          <w:numId w:val="45"/>
        </w:numPr>
        <w:rPr>
          <w:rFonts w:hint="eastAsia" w:ascii="宋体" w:hAnsi="Times New Roman" w:eastAsia="宋体" w:cs="Times New Roman"/>
          <w:color w:val="auto"/>
          <w:lang w:val="en-US" w:eastAsia="zh-CN"/>
        </w:rPr>
      </w:pPr>
      <w:r>
        <w:rPr>
          <w:rFonts w:hint="default" w:ascii="宋体" w:hAnsi="Times New Roman" w:eastAsia="宋体" w:cs="Times New Roman"/>
          <w:color w:val="auto"/>
          <w:lang w:val="en-US" w:eastAsia="zh-CN"/>
        </w:rPr>
        <w:t>仲裁员在接受指定之时24小时内签发声明</w:t>
      </w:r>
      <w:r>
        <w:rPr>
          <w:rFonts w:hint="eastAsia" w:ascii="宋体" w:hAnsi="Times New Roman" w:eastAsia="宋体" w:cs="Times New Roman"/>
          <w:color w:val="auto"/>
          <w:lang w:val="en-US" w:eastAsia="zh-CN"/>
        </w:rPr>
        <w:t>。</w:t>
      </w:r>
    </w:p>
    <w:p>
      <w:pPr>
        <w:pStyle w:val="174"/>
        <w:numPr>
          <w:ilvl w:val="0"/>
          <w:numId w:val="45"/>
        </w:numPr>
        <w:rPr>
          <w:rFonts w:hint="default" w:ascii="宋体" w:hAnsi="Times New Roman" w:eastAsia="宋体" w:cs="Times New Roman"/>
          <w:color w:val="auto"/>
          <w:lang w:val="en-US" w:eastAsia="zh-CN"/>
        </w:rPr>
      </w:pPr>
      <w:r>
        <w:rPr>
          <w:rFonts w:hint="default" w:ascii="宋体" w:hAnsi="Times New Roman" w:eastAsia="宋体" w:cs="Times New Roman"/>
          <w:color w:val="auto"/>
          <w:lang w:val="en-US" w:eastAsia="zh-CN"/>
        </w:rPr>
        <w:t>仲裁秘书自签发声明书之时起即时向双方当事人发送组庭通知</w:t>
      </w:r>
      <w:r>
        <w:rPr>
          <w:rFonts w:hint="eastAsia" w:ascii="宋体" w:hAnsi="Times New Roman" w:eastAsia="宋体" w:cs="Times New Roman"/>
          <w:color w:val="auto"/>
          <w:lang w:val="en-US" w:eastAsia="zh-CN"/>
        </w:rPr>
        <w:t>。</w:t>
      </w:r>
    </w:p>
    <w:p>
      <w:pPr>
        <w:pStyle w:val="105"/>
        <w:spacing w:before="156" w:after="156"/>
        <w:rPr>
          <w:rFonts w:hint="default" w:hAnsi="Times New Roman" w:cs="Times New Roman"/>
          <w:color w:val="auto"/>
          <w:lang w:val="en-US" w:eastAsia="zh-CN"/>
        </w:rPr>
      </w:pPr>
      <w:bookmarkStart w:id="93" w:name="_Toc1587"/>
      <w:bookmarkStart w:id="94" w:name="_Toc20214"/>
      <w:r>
        <w:rPr>
          <w:rFonts w:hint="eastAsia" w:hAnsi="Times New Roman" w:cs="Times New Roman"/>
          <w:color w:val="auto"/>
          <w:lang w:val="en-US" w:eastAsia="zh-CN"/>
        </w:rPr>
        <w:t>审理</w:t>
      </w:r>
      <w:bookmarkEnd w:id="93"/>
      <w:bookmarkEnd w:id="94"/>
    </w:p>
    <w:p>
      <w:pPr>
        <w:pStyle w:val="165"/>
        <w:rPr>
          <w:rFonts w:hint="eastAsia" w:ascii="宋体" w:hAnsi="Times New Roman" w:eastAsia="宋体" w:cs="Times New Roman"/>
          <w:color w:val="auto"/>
          <w:sz w:val="21"/>
          <w:szCs w:val="22"/>
          <w:highlight w:val="none"/>
          <w:lang w:val="en-US" w:eastAsia="zh-CN" w:bidi="ar-SA"/>
        </w:rPr>
      </w:pPr>
      <w:bookmarkStart w:id="95" w:name="_Toc14383"/>
      <w:r>
        <w:rPr>
          <w:rFonts w:hint="eastAsia" w:ascii="宋体" w:hAnsi="Times New Roman" w:eastAsia="宋体" w:cs="Times New Roman"/>
          <w:color w:val="auto"/>
          <w:sz w:val="21"/>
          <w:szCs w:val="22"/>
          <w:highlight w:val="none"/>
          <w:lang w:val="en-US" w:eastAsia="zh-CN" w:bidi="ar-SA"/>
        </w:rPr>
        <w:t>网上仲裁审理方式分为非同步电子交互审理和同步视频审理两种。</w:t>
      </w:r>
      <w:bookmarkEnd w:id="95"/>
    </w:p>
    <w:p>
      <w:pPr>
        <w:pStyle w:val="165"/>
        <w:rPr>
          <w:rFonts w:hint="eastAsia" w:ascii="宋体" w:hAnsi="Times New Roman" w:eastAsia="宋体" w:cs="Times New Roman"/>
          <w:color w:val="auto"/>
          <w:sz w:val="21"/>
          <w:szCs w:val="22"/>
          <w:highlight w:val="none"/>
          <w:lang w:val="en-US" w:eastAsia="zh-CN" w:bidi="ar-SA"/>
        </w:rPr>
      </w:pPr>
      <w:bookmarkStart w:id="96" w:name="_Toc21765"/>
      <w:r>
        <w:rPr>
          <w:rFonts w:hint="eastAsia" w:ascii="宋体" w:hAnsi="Times New Roman" w:eastAsia="宋体" w:cs="Times New Roman"/>
          <w:color w:val="auto"/>
          <w:sz w:val="21"/>
          <w:szCs w:val="22"/>
          <w:highlight w:val="none"/>
          <w:lang w:val="en-US" w:eastAsia="zh-CN" w:bidi="ar-SA"/>
        </w:rPr>
        <w:t>非同步电子交互审理</w:t>
      </w:r>
      <w:r>
        <w:rPr>
          <w:rFonts w:hint="eastAsia" w:cs="Times New Roman"/>
          <w:color w:val="auto"/>
          <w:sz w:val="21"/>
          <w:szCs w:val="22"/>
          <w:highlight w:val="none"/>
          <w:lang w:val="en-US" w:eastAsia="zh-CN" w:bidi="ar-SA"/>
        </w:rPr>
        <w:t>适用如下情形：</w:t>
      </w:r>
    </w:p>
    <w:p>
      <w:pPr>
        <w:pStyle w:val="174"/>
        <w:numPr>
          <w:ilvl w:val="0"/>
          <w:numId w:val="46"/>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双方当事人在网上仲裁协议或仲裁条款中约定用非同步电子交互方式审理案件的，具体表述包括但不限于非同步交互审理、异步交互审理、不开庭书面审理等。</w:t>
      </w:r>
    </w:p>
    <w:p>
      <w:pPr>
        <w:pStyle w:val="174"/>
        <w:numPr>
          <w:ilvl w:val="0"/>
          <w:numId w:val="46"/>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双方当事人在网上仲裁协议或仲裁条款中没有约定审理方式的，仲裁机构已经通知双方当事人选择网上开庭方式，当事人未选择或者未能选择一致的，仲裁庭采用非同步电子交互审理。</w:t>
      </w:r>
    </w:p>
    <w:p>
      <w:pPr>
        <w:pStyle w:val="165"/>
        <w:keepNext w:val="0"/>
        <w:keepLines w:val="0"/>
        <w:pageBreakBefore w:val="0"/>
        <w:widowControl w:val="0"/>
        <w:numPr>
          <w:ilvl w:val="3"/>
          <w:numId w:val="0"/>
        </w:numPr>
        <w:kinsoku/>
        <w:wordWrap/>
        <w:overflowPunct/>
        <w:topLinePunct w:val="0"/>
        <w:autoSpaceDE/>
        <w:autoSpaceDN/>
        <w:bidi w:val="0"/>
        <w:adjustRightInd/>
        <w:snapToGrid/>
        <w:ind w:leftChars="0" w:firstLine="420" w:firstLineChars="200"/>
        <w:textAlignment w:val="auto"/>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仲裁庭、仲裁秘书应按照附录B所载明的流程推进非同步电子交互审理。</w:t>
      </w:r>
      <w:bookmarkEnd w:id="96"/>
    </w:p>
    <w:p>
      <w:pPr>
        <w:pStyle w:val="165"/>
        <w:rPr>
          <w:rFonts w:hint="eastAsia" w:ascii="宋体" w:hAnsi="Times New Roman" w:eastAsia="宋体" w:cs="Times New Roman"/>
          <w:color w:val="auto"/>
          <w:sz w:val="21"/>
          <w:szCs w:val="22"/>
          <w:highlight w:val="none"/>
          <w:lang w:val="en-US" w:eastAsia="zh-CN" w:bidi="ar-SA"/>
        </w:rPr>
      </w:pPr>
      <w:bookmarkStart w:id="97" w:name="_Toc21711"/>
      <w:r>
        <w:rPr>
          <w:rFonts w:hint="eastAsia" w:ascii="宋体" w:hAnsi="Times New Roman" w:eastAsia="宋体" w:cs="Times New Roman"/>
          <w:color w:val="auto"/>
          <w:sz w:val="21"/>
          <w:szCs w:val="22"/>
          <w:highlight w:val="none"/>
          <w:lang w:val="en-US" w:eastAsia="zh-CN" w:bidi="ar-SA"/>
        </w:rPr>
        <w:t>同步视频审理</w:t>
      </w:r>
      <w:r>
        <w:rPr>
          <w:rFonts w:hint="eastAsia" w:cs="Times New Roman"/>
          <w:color w:val="auto"/>
          <w:sz w:val="21"/>
          <w:szCs w:val="22"/>
          <w:highlight w:val="none"/>
          <w:lang w:val="en-US" w:eastAsia="zh-CN" w:bidi="ar-SA"/>
        </w:rPr>
        <w:t>适用如下情形：</w:t>
      </w:r>
    </w:p>
    <w:p>
      <w:pPr>
        <w:pStyle w:val="174"/>
        <w:numPr>
          <w:ilvl w:val="0"/>
          <w:numId w:val="47"/>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双方当事人在网上仲裁协议或仲裁条款中约定用同步视频方式审理案件的。</w:t>
      </w:r>
    </w:p>
    <w:p>
      <w:pPr>
        <w:pStyle w:val="174"/>
        <w:numPr>
          <w:ilvl w:val="0"/>
          <w:numId w:val="47"/>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双方当事人在网上仲裁协议或仲裁条款中没有约定审理方式的，仲裁机构已经通知双方当事人选择网上开庭方式，当事人一致选择同步视频方式审理的。</w:t>
      </w:r>
    </w:p>
    <w:p>
      <w:pPr>
        <w:pStyle w:val="174"/>
        <w:numPr>
          <w:ilvl w:val="0"/>
          <w:numId w:val="47"/>
        </w:numPr>
        <w:rPr>
          <w:rFonts w:hint="eastAsia" w:ascii="宋体" w:hAnsi="Times New Roman" w:eastAsia="宋体" w:cs="Times New Roman"/>
          <w:color w:val="auto"/>
          <w:lang w:val="en-US" w:eastAsia="zh-CN"/>
        </w:rPr>
      </w:pPr>
      <w:r>
        <w:rPr>
          <w:rFonts w:hint="eastAsia" w:ascii="宋体" w:hAnsi="Times New Roman" w:eastAsia="宋体" w:cs="Times New Roman"/>
          <w:color w:val="auto"/>
          <w:lang w:val="en-US" w:eastAsia="zh-CN"/>
        </w:rPr>
        <w:t>双方当事人虽未约定采用同步视频方式审理，但仲裁庭经审查，认为案件更适宜进行同步视频审理的，经通知双方当事人，可通过同步视频方式审理案件。</w:t>
      </w:r>
    </w:p>
    <w:p>
      <w:pPr>
        <w:pStyle w:val="165"/>
        <w:keepNext w:val="0"/>
        <w:keepLines w:val="0"/>
        <w:pageBreakBefore w:val="0"/>
        <w:widowControl w:val="0"/>
        <w:numPr>
          <w:ilvl w:val="3"/>
          <w:numId w:val="0"/>
        </w:numPr>
        <w:kinsoku/>
        <w:wordWrap/>
        <w:overflowPunct/>
        <w:topLinePunct w:val="0"/>
        <w:autoSpaceDE/>
        <w:autoSpaceDN/>
        <w:bidi w:val="0"/>
        <w:adjustRightInd/>
        <w:snapToGrid/>
        <w:ind w:leftChars="0" w:firstLine="420" w:firstLineChars="200"/>
        <w:textAlignment w:val="auto"/>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仲裁庭、仲裁秘书应按照附录C所载明的流程推进同步视频审理。</w:t>
      </w:r>
      <w:bookmarkEnd w:id="97"/>
    </w:p>
    <w:p>
      <w:pPr>
        <w:pStyle w:val="165"/>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仲裁庭应当自组庭之日起21日内，完成非同步电子交互审理或同步视频审理，包括举证、质证、辩论、陈述、仲裁庭调查等仲裁程序</w:t>
      </w:r>
      <w:r>
        <w:rPr>
          <w:rFonts w:hint="eastAsia" w:cs="Times New Roman"/>
          <w:color w:val="auto"/>
          <w:sz w:val="21"/>
          <w:szCs w:val="22"/>
          <w:highlight w:val="none"/>
          <w:lang w:val="en-US" w:eastAsia="zh-CN" w:bidi="ar-SA"/>
        </w:rPr>
        <w:t>。</w:t>
      </w:r>
    </w:p>
    <w:p>
      <w:pPr>
        <w:pStyle w:val="105"/>
        <w:spacing w:before="156" w:after="156"/>
        <w:rPr>
          <w:rFonts w:hint="default" w:hAnsi="Times New Roman" w:cs="Times New Roman"/>
          <w:color w:val="auto"/>
          <w:lang w:val="en-US" w:eastAsia="zh-CN"/>
        </w:rPr>
      </w:pPr>
      <w:bookmarkStart w:id="98" w:name="_Toc13175"/>
      <w:r>
        <w:rPr>
          <w:rFonts w:hint="eastAsia" w:hAnsi="Times New Roman" w:cs="Times New Roman"/>
          <w:color w:val="auto"/>
          <w:lang w:val="en-US" w:eastAsia="zh-CN"/>
        </w:rPr>
        <w:t>结案</w:t>
      </w:r>
      <w:bookmarkEnd w:id="98"/>
    </w:p>
    <w:p>
      <w:pPr>
        <w:pStyle w:val="165"/>
        <w:rPr>
          <w:rFonts w:hint="eastAsia" w:ascii="宋体" w:hAnsi="Times New Roman" w:eastAsia="宋体" w:cs="Times New Roman"/>
          <w:color w:val="auto"/>
          <w:lang w:val="en-US" w:eastAsia="zh-CN"/>
        </w:rPr>
      </w:pPr>
      <w:bookmarkStart w:id="99" w:name="_Toc638"/>
      <w:r>
        <w:rPr>
          <w:rFonts w:hint="eastAsia" w:ascii="宋体" w:hAnsi="Times New Roman" w:eastAsia="宋体" w:cs="Times New Roman"/>
          <w:color w:val="auto"/>
          <w:lang w:val="en-US" w:eastAsia="zh-CN"/>
        </w:rPr>
        <w:t>仲裁庭应当根据事实，符合法律规定，公平公正地作出裁决。</w:t>
      </w:r>
      <w:bookmarkEnd w:id="99"/>
    </w:p>
    <w:p>
      <w:pPr>
        <w:pStyle w:val="165"/>
        <w:rPr>
          <w:rFonts w:hint="eastAsia" w:ascii="宋体" w:hAnsi="Times New Roman" w:eastAsia="宋体" w:cs="Times New Roman"/>
          <w:color w:val="auto"/>
          <w:sz w:val="21"/>
          <w:szCs w:val="22"/>
          <w:highlight w:val="none"/>
          <w:lang w:val="en-US" w:eastAsia="zh-CN" w:bidi="ar-SA"/>
        </w:rPr>
      </w:pPr>
      <w:r>
        <w:rPr>
          <w:rFonts w:hint="eastAsia" w:cs="Times New Roman"/>
          <w:color w:val="auto"/>
          <w:sz w:val="21"/>
          <w:szCs w:val="22"/>
          <w:highlight w:val="none"/>
          <w:lang w:val="en-US" w:eastAsia="zh-CN" w:bidi="ar-SA"/>
        </w:rPr>
        <w:t>仲裁庭</w:t>
      </w:r>
      <w:r>
        <w:rPr>
          <w:rFonts w:hint="eastAsia" w:ascii="宋体" w:hAnsi="Times New Roman" w:eastAsia="宋体" w:cs="Times New Roman"/>
          <w:color w:val="auto"/>
          <w:sz w:val="21"/>
          <w:szCs w:val="22"/>
          <w:highlight w:val="none"/>
          <w:lang w:val="en-US" w:eastAsia="zh-CN" w:bidi="ar-SA"/>
        </w:rPr>
        <w:t>应当自</w:t>
      </w:r>
      <w:r>
        <w:rPr>
          <w:rFonts w:hint="eastAsia" w:cs="Times New Roman"/>
          <w:color w:val="auto"/>
          <w:sz w:val="21"/>
          <w:szCs w:val="22"/>
          <w:highlight w:val="none"/>
          <w:lang w:val="en-US" w:eastAsia="zh-CN" w:bidi="ar-SA"/>
        </w:rPr>
        <w:t>仲裁庭</w:t>
      </w:r>
      <w:r>
        <w:rPr>
          <w:rFonts w:hint="eastAsia" w:ascii="宋体" w:hAnsi="Times New Roman" w:eastAsia="宋体" w:cs="Times New Roman"/>
          <w:color w:val="auto"/>
          <w:sz w:val="21"/>
          <w:szCs w:val="22"/>
          <w:highlight w:val="none"/>
          <w:lang w:val="en-US" w:eastAsia="zh-CN" w:bidi="ar-SA"/>
        </w:rPr>
        <w:t>组成之日起30日内作出裁决。特殊情况需要延长的，由仲裁庭提出申请，仲裁秘书需及时报仲裁机构主任审批，经仲裁机构主任批准，可以适当延长。</w:t>
      </w:r>
    </w:p>
    <w:p>
      <w:pPr>
        <w:pStyle w:val="165"/>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申请人撤回仲裁申请的，仲裁庭组成前由仲裁机构作出决定书，仲裁庭组成后由仲裁庭作出决定书。</w:t>
      </w:r>
    </w:p>
    <w:p>
      <w:pPr>
        <w:pStyle w:val="165"/>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当事人达成调解协议的，由仲裁庭根据调解协议的内容制作调解书或者裁决书。</w:t>
      </w:r>
    </w:p>
    <w:p>
      <w:pPr>
        <w:pStyle w:val="165"/>
        <w:ind w:left="-199" w:leftChars="-95" w:firstLine="199" w:firstLineChars="95"/>
        <w:rPr>
          <w:rFonts w:hint="eastAsia" w:ascii="宋体" w:hAnsi="Times New Roman" w:eastAsia="宋体" w:cs="Times New Roman"/>
          <w:color w:val="auto"/>
          <w:lang w:val="en-US" w:eastAsia="zh-CN"/>
        </w:rPr>
      </w:pPr>
      <w:bookmarkStart w:id="100" w:name="_Toc28409"/>
      <w:r>
        <w:rPr>
          <w:rFonts w:hint="eastAsia" w:cs="Times New Roman"/>
          <w:color w:val="auto"/>
          <w:lang w:val="en-US" w:eastAsia="zh-CN"/>
        </w:rPr>
        <w:t>仲裁裁决书、仲裁调解书</w:t>
      </w:r>
      <w:r>
        <w:rPr>
          <w:rFonts w:hint="eastAsia" w:ascii="宋体" w:hAnsi="Times New Roman" w:eastAsia="宋体" w:cs="Times New Roman"/>
          <w:color w:val="auto"/>
          <w:lang w:val="en-US" w:eastAsia="zh-CN"/>
        </w:rPr>
        <w:t>由仲裁</w:t>
      </w:r>
      <w:r>
        <w:rPr>
          <w:rFonts w:hint="eastAsia" w:cs="Times New Roman"/>
          <w:color w:val="auto"/>
          <w:lang w:val="en-US" w:eastAsia="zh-CN"/>
        </w:rPr>
        <w:t>庭</w:t>
      </w:r>
      <w:r>
        <w:rPr>
          <w:rFonts w:hint="eastAsia" w:ascii="宋体" w:hAnsi="Times New Roman" w:eastAsia="宋体" w:cs="Times New Roman"/>
          <w:color w:val="auto"/>
          <w:lang w:val="en-US" w:eastAsia="zh-CN"/>
        </w:rPr>
        <w:t>签发，仲裁秘书送达。</w:t>
      </w:r>
      <w:bookmarkEnd w:id="100"/>
    </w:p>
    <w:p>
      <w:pPr>
        <w:pStyle w:val="231"/>
        <w:rPr>
          <w:rFonts w:hint="eastAsia"/>
          <w:color w:val="auto"/>
          <w:lang w:val="en-US" w:eastAsia="zh-CN"/>
        </w:rPr>
      </w:pPr>
    </w:p>
    <w:p>
      <w:pPr>
        <w:pStyle w:val="105"/>
        <w:spacing w:before="156" w:after="156"/>
        <w:rPr>
          <w:rFonts w:hint="default" w:hAnsi="Times New Roman" w:cs="Times New Roman"/>
          <w:color w:val="auto"/>
          <w:lang w:val="en-US" w:eastAsia="zh-CN"/>
        </w:rPr>
      </w:pPr>
      <w:bookmarkStart w:id="101" w:name="_Toc189"/>
      <w:bookmarkStart w:id="102" w:name="_Toc15559"/>
      <w:r>
        <w:rPr>
          <w:rFonts w:hint="eastAsia" w:hAnsi="Times New Roman" w:cs="Times New Roman"/>
          <w:color w:val="auto"/>
          <w:lang w:val="en-US" w:eastAsia="zh-CN"/>
        </w:rPr>
        <w:t>送达</w:t>
      </w:r>
      <w:bookmarkEnd w:id="101"/>
      <w:bookmarkEnd w:id="102"/>
    </w:p>
    <w:p>
      <w:pPr>
        <w:pStyle w:val="165"/>
        <w:rPr>
          <w:rFonts w:hint="eastAsia" w:ascii="宋体" w:hAnsi="Times New Roman" w:eastAsia="宋体" w:cs="Times New Roman"/>
          <w:color w:val="auto"/>
          <w:sz w:val="21"/>
          <w:szCs w:val="22"/>
          <w:highlight w:val="none"/>
          <w:lang w:val="en-US" w:eastAsia="zh-CN" w:bidi="ar-SA"/>
        </w:rPr>
      </w:pPr>
      <w:bookmarkStart w:id="103" w:name="_Toc23354"/>
      <w:r>
        <w:rPr>
          <w:rFonts w:hint="eastAsia" w:ascii="宋体" w:hAnsi="Times New Roman" w:eastAsia="宋体" w:cs="Times New Roman"/>
          <w:color w:val="auto"/>
          <w:sz w:val="21"/>
          <w:szCs w:val="22"/>
          <w:highlight w:val="none"/>
          <w:lang w:val="en-US" w:eastAsia="zh-CN" w:bidi="ar-SA"/>
        </w:rPr>
        <w:t>送达程序由仲裁秘书完成，仲裁规则中需要书面通知当事人的事项、结案文书均需进行送达，送达方式以电子送达为主、其他送达方式为辅。</w:t>
      </w:r>
      <w:bookmarkEnd w:id="103"/>
    </w:p>
    <w:p>
      <w:pPr>
        <w:pStyle w:val="165"/>
        <w:rPr>
          <w:rFonts w:hint="eastAsia" w:ascii="宋体" w:hAnsi="Times New Roman" w:eastAsia="宋体" w:cs="Times New Roman"/>
          <w:color w:val="auto"/>
          <w:sz w:val="21"/>
          <w:szCs w:val="22"/>
          <w:highlight w:val="none"/>
          <w:lang w:val="en-US" w:eastAsia="zh-CN" w:bidi="ar-SA"/>
        </w:rPr>
      </w:pPr>
      <w:bookmarkStart w:id="104" w:name="_Toc26897"/>
      <w:r>
        <w:rPr>
          <w:rFonts w:hint="eastAsia" w:ascii="宋体" w:hAnsi="Times New Roman" w:eastAsia="宋体" w:cs="Times New Roman"/>
          <w:color w:val="auto"/>
          <w:sz w:val="21"/>
          <w:szCs w:val="22"/>
          <w:highlight w:val="none"/>
          <w:lang w:val="en-US" w:eastAsia="zh-CN" w:bidi="ar-SA"/>
        </w:rPr>
        <w:t>当事人在网上仲裁协议或仲裁条款中约定了电子送达方式及送达地址的，仲裁秘书依据当事人约定进行电子送达。</w:t>
      </w:r>
    </w:p>
    <w:p>
      <w:pPr>
        <w:pStyle w:val="165"/>
        <w:rPr>
          <w:rFonts w:hint="eastAsia" w:ascii="宋体" w:hAnsi="Times New Roman" w:eastAsia="宋体" w:cs="Times New Roman"/>
          <w:color w:val="auto"/>
          <w:sz w:val="21"/>
          <w:szCs w:val="22"/>
          <w:highlight w:val="none"/>
          <w:lang w:val="en-US" w:eastAsia="zh-CN" w:bidi="ar-SA"/>
        </w:rPr>
      </w:pPr>
      <w:r>
        <w:rPr>
          <w:rFonts w:hint="eastAsia" w:cs="Times New Roman"/>
          <w:color w:val="auto"/>
          <w:sz w:val="21"/>
          <w:szCs w:val="22"/>
          <w:highlight w:val="none"/>
          <w:lang w:val="en-US" w:eastAsia="zh-CN" w:bidi="ar-SA"/>
        </w:rPr>
        <w:t>当事人的</w:t>
      </w:r>
      <w:r>
        <w:rPr>
          <w:rFonts w:hint="eastAsia" w:ascii="宋体" w:hAnsi="Times New Roman" w:eastAsia="宋体" w:cs="Times New Roman"/>
          <w:color w:val="auto"/>
          <w:sz w:val="21"/>
          <w:szCs w:val="22"/>
          <w:highlight w:val="none"/>
          <w:lang w:val="en-US" w:eastAsia="zh-CN" w:bidi="ar-SA"/>
        </w:rPr>
        <w:t>送达地址发生变更时，当事人应当及时通知仲裁机构仲裁秘书，未及时通知的，向网上仲裁协议或仲裁条款约定的送达地址进行送达，即视为送达。</w:t>
      </w:r>
    </w:p>
    <w:p>
      <w:pPr>
        <w:pStyle w:val="165"/>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通过云平台向当事人发送仲裁文书及当事人提交的材料等，</w:t>
      </w:r>
      <w:r>
        <w:rPr>
          <w:rFonts w:hint="eastAsia" w:cs="Times New Roman"/>
          <w:color w:val="auto"/>
          <w:sz w:val="21"/>
          <w:szCs w:val="22"/>
          <w:highlight w:val="none"/>
          <w:lang w:val="en-US" w:eastAsia="zh-CN" w:bidi="ar-SA"/>
        </w:rPr>
        <w:t>或者</w:t>
      </w:r>
      <w:r>
        <w:rPr>
          <w:rFonts w:hint="eastAsia" w:ascii="宋体" w:hAnsi="Times New Roman" w:eastAsia="宋体" w:cs="Times New Roman"/>
          <w:color w:val="auto"/>
          <w:sz w:val="21"/>
          <w:szCs w:val="22"/>
          <w:highlight w:val="none"/>
          <w:lang w:val="en-US" w:eastAsia="zh-CN" w:bidi="ar-SA"/>
        </w:rPr>
        <w:t>通过短信平台、电子邮箱以及其他即时通讯平台向当事人发送通知，通知当事人登录云平台查收仲裁文书及当事人提交的材料等，通知到达确认的指定系统即为送达成功。</w:t>
      </w:r>
      <w:bookmarkEnd w:id="104"/>
    </w:p>
    <w:p>
      <w:pPr>
        <w:pStyle w:val="165"/>
        <w:rPr>
          <w:rFonts w:hint="eastAsia" w:ascii="宋体" w:hAnsi="Times New Roman" w:eastAsia="宋体" w:cs="Times New Roman"/>
          <w:color w:val="auto"/>
          <w:sz w:val="21"/>
          <w:szCs w:val="22"/>
          <w:highlight w:val="none"/>
          <w:lang w:val="en-US" w:eastAsia="zh-CN" w:bidi="ar-SA"/>
        </w:rPr>
      </w:pPr>
      <w:bookmarkStart w:id="105" w:name="_Toc16789"/>
      <w:r>
        <w:rPr>
          <w:rFonts w:hint="eastAsia" w:ascii="宋体" w:hAnsi="Times New Roman" w:eastAsia="宋体" w:cs="Times New Roman"/>
          <w:color w:val="auto"/>
          <w:sz w:val="21"/>
          <w:szCs w:val="22"/>
          <w:highlight w:val="none"/>
          <w:lang w:val="en-US" w:eastAsia="zh-CN" w:bidi="ar-SA"/>
        </w:rPr>
        <w:t>为保障当事人的合法权利，在采用电子送达方式未能有效送达的情况下，网上仲裁案件可以进行邮寄送达。</w:t>
      </w:r>
    </w:p>
    <w:p>
      <w:pPr>
        <w:pStyle w:val="165"/>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可以进行邮寄送达的通知事项有仲裁通知（本请求、反请求、变更请求）、仲裁申请副本（本请求、反请求、变更请求）、</w:t>
      </w:r>
      <w:r>
        <w:rPr>
          <w:rFonts w:hint="eastAsia" w:cs="Times New Roman"/>
          <w:color w:val="auto"/>
          <w:sz w:val="21"/>
          <w:szCs w:val="22"/>
          <w:highlight w:val="none"/>
          <w:lang w:val="en-US" w:eastAsia="zh-CN" w:bidi="ar-SA"/>
        </w:rPr>
        <w:t>开庭通知、</w:t>
      </w:r>
      <w:r>
        <w:rPr>
          <w:rFonts w:hint="eastAsia" w:ascii="宋体" w:hAnsi="Times New Roman" w:eastAsia="宋体" w:cs="Times New Roman"/>
          <w:color w:val="auto"/>
          <w:sz w:val="21"/>
          <w:szCs w:val="22"/>
          <w:highlight w:val="none"/>
          <w:lang w:val="en-US" w:eastAsia="zh-CN" w:bidi="ar-SA"/>
        </w:rPr>
        <w:t>结案文书。其他通知事项根据需要进行邮寄送达</w:t>
      </w:r>
    </w:p>
    <w:p>
      <w:pPr>
        <w:pStyle w:val="165"/>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t>邮寄送达应向申请人或被申请人身份证或营业执照载明的居住地址、网上仲裁协议或仲裁条款中确认的送达地址、争议合同或其他证据材料中载明的地址、当事人提供的其他地址等进行送达。</w:t>
      </w:r>
      <w:bookmarkEnd w:id="105"/>
    </w:p>
    <w:p>
      <w:pPr>
        <w:pStyle w:val="105"/>
        <w:spacing w:before="156" w:after="156"/>
        <w:rPr>
          <w:rFonts w:hint="default" w:hAnsi="Times New Roman" w:cs="Times New Roman"/>
          <w:color w:val="auto"/>
          <w:lang w:val="en-US" w:eastAsia="zh-CN"/>
        </w:rPr>
      </w:pPr>
      <w:bookmarkStart w:id="106" w:name="_Toc16848"/>
      <w:bookmarkStart w:id="107" w:name="_Toc25637"/>
      <w:r>
        <w:rPr>
          <w:rFonts w:hint="eastAsia" w:hAnsi="Times New Roman" w:cs="Times New Roman"/>
          <w:color w:val="auto"/>
          <w:lang w:val="en-US" w:eastAsia="zh-CN"/>
        </w:rPr>
        <w:t>电子卷宗归档规范</w:t>
      </w:r>
      <w:bookmarkEnd w:id="106"/>
      <w:bookmarkEnd w:id="107"/>
    </w:p>
    <w:p>
      <w:pPr>
        <w:pStyle w:val="231"/>
        <w:rPr>
          <w:rFonts w:hint="eastAsia"/>
          <w:color w:val="auto"/>
          <w:highlight w:val="none"/>
          <w:lang w:val="en-US" w:eastAsia="zh-CN"/>
        </w:rPr>
      </w:pPr>
      <w:r>
        <w:rPr>
          <w:rFonts w:hint="eastAsia" w:ascii="宋体" w:hAnsi="Times New Roman" w:eastAsia="宋体" w:cs="Times New Roman"/>
          <w:color w:val="auto"/>
          <w:sz w:val="21"/>
          <w:szCs w:val="22"/>
          <w:highlight w:val="none"/>
          <w:lang w:val="en-US" w:eastAsia="zh-CN" w:bidi="ar-SA"/>
        </w:rPr>
        <w:t>网上仲裁案件实行电子卷宗归档，电子卷宗随案同步生成。</w:t>
      </w:r>
      <w:r>
        <w:rPr>
          <w:rFonts w:hint="eastAsia" w:cs="Times New Roman"/>
          <w:color w:val="auto"/>
          <w:sz w:val="21"/>
          <w:szCs w:val="22"/>
          <w:highlight w:val="none"/>
          <w:lang w:val="en-US" w:eastAsia="zh-CN" w:bidi="ar-SA"/>
        </w:rPr>
        <w:t>当事人线下</w:t>
      </w:r>
      <w:r>
        <w:rPr>
          <w:rFonts w:hint="eastAsia" w:ascii="宋体" w:hAnsi="Times New Roman" w:eastAsia="宋体" w:cs="Times New Roman"/>
          <w:color w:val="auto"/>
          <w:sz w:val="21"/>
          <w:szCs w:val="22"/>
          <w:highlight w:val="none"/>
          <w:lang w:val="en-US" w:eastAsia="zh-CN" w:bidi="ar-SA"/>
        </w:rPr>
        <w:t>提交的材料，秘书应通过适当的方式对</w:t>
      </w:r>
      <w:r>
        <w:rPr>
          <w:rFonts w:hint="eastAsia" w:cs="Times New Roman"/>
          <w:color w:val="auto"/>
          <w:sz w:val="21"/>
          <w:szCs w:val="22"/>
          <w:highlight w:val="none"/>
          <w:lang w:val="en-US" w:eastAsia="zh-CN" w:bidi="ar-SA"/>
        </w:rPr>
        <w:t>材料进行</w:t>
      </w:r>
      <w:r>
        <w:rPr>
          <w:rFonts w:hint="eastAsia" w:ascii="宋体" w:hAnsi="Times New Roman" w:eastAsia="宋体" w:cs="Times New Roman"/>
          <w:color w:val="auto"/>
          <w:sz w:val="21"/>
          <w:szCs w:val="22"/>
          <w:highlight w:val="none"/>
          <w:lang w:val="en-US" w:eastAsia="zh-CN" w:bidi="ar-SA"/>
        </w:rPr>
        <w:t>电子化处理后上传云平台，形成电子卷宗。</w:t>
      </w: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pStyle w:val="231"/>
        <w:rPr>
          <w:rFonts w:hint="eastAsia" w:ascii="宋体" w:hAnsi="Times New Roman" w:eastAsia="宋体" w:cs="Times New Roman"/>
          <w:color w:val="auto"/>
          <w:sz w:val="21"/>
          <w:szCs w:val="22"/>
          <w:highlight w:val="none"/>
          <w:lang w:val="en-US" w:eastAsia="zh-CN" w:bidi="ar-SA"/>
        </w:rPr>
      </w:pPr>
    </w:p>
    <w:p>
      <w:pPr>
        <w:rPr>
          <w:rFonts w:hint="eastAsia" w:ascii="宋体" w:hAnsi="Times New Roman" w:eastAsia="宋体" w:cs="Times New Roman"/>
          <w:color w:val="auto"/>
          <w:sz w:val="21"/>
          <w:szCs w:val="22"/>
          <w:highlight w:val="none"/>
          <w:lang w:val="en-US" w:eastAsia="zh-CN" w:bidi="ar-SA"/>
        </w:rPr>
      </w:pPr>
      <w:r>
        <w:rPr>
          <w:rFonts w:hint="eastAsia" w:ascii="宋体" w:hAnsi="Times New Roman" w:eastAsia="宋体" w:cs="Times New Roman"/>
          <w:color w:val="auto"/>
          <w:sz w:val="21"/>
          <w:szCs w:val="22"/>
          <w:highlight w:val="none"/>
          <w:lang w:val="en-US" w:eastAsia="zh-CN" w:bidi="ar-SA"/>
        </w:rPr>
        <w:br w:type="page"/>
      </w:r>
    </w:p>
    <w:p>
      <w:pPr>
        <w:pStyle w:val="240"/>
        <w:rPr>
          <w:rFonts w:ascii="黑体" w:hAnsi="Times New Roman" w:eastAsia="黑体" w:cs="Times New Roman"/>
          <w:color w:val="auto"/>
          <w:sz w:val="21"/>
          <w:lang w:val="en-US" w:eastAsia="zh-CN" w:bidi="ar-SA"/>
        </w:rPr>
      </w:pPr>
      <w:bookmarkStart w:id="108" w:name="标准附录"/>
      <w:bookmarkEnd w:id="108"/>
    </w:p>
    <w:p>
      <w:pPr>
        <w:pStyle w:val="241"/>
        <w:rPr>
          <w:rFonts w:ascii="黑体" w:hAnsi="Times New Roman" w:eastAsia="黑体" w:cs="Times New Roman"/>
          <w:color w:val="auto"/>
          <w:sz w:val="21"/>
          <w:lang w:val="en-US" w:eastAsia="zh-CN" w:bidi="ar-SA"/>
        </w:rPr>
      </w:pPr>
    </w:p>
    <w:p>
      <w:pPr>
        <w:pStyle w:val="242"/>
        <w:outlineLvl w:val="0"/>
        <w:rPr>
          <w:color w:val="auto"/>
          <w:highlight w:val="none"/>
        </w:rPr>
      </w:pPr>
      <w:bookmarkStart w:id="109" w:name="_Toc13339"/>
      <w:bookmarkStart w:id="110" w:name="_Toc16252"/>
      <w:r>
        <w:rPr>
          <w:color w:val="auto"/>
          <w:highlight w:val="none"/>
        </w:rPr>
        <w:br w:type="textWrapping"/>
      </w:r>
      <w:bookmarkStart w:id="111" w:name="_Toc73111605"/>
      <w:r>
        <w:rPr>
          <w:rFonts w:hint="eastAsia"/>
          <w:color w:val="auto"/>
          <w:highlight w:val="none"/>
        </w:rPr>
        <w:t>（</w:t>
      </w:r>
      <w:r>
        <w:rPr>
          <w:rFonts w:hint="eastAsia"/>
          <w:color w:val="auto"/>
          <w:highlight w:val="none"/>
          <w:lang w:val="en-US" w:eastAsia="zh-CN"/>
        </w:rPr>
        <w:t>资料</w:t>
      </w:r>
      <w:r>
        <w:rPr>
          <w:rFonts w:hint="eastAsia"/>
          <w:color w:val="auto"/>
          <w:highlight w:val="none"/>
        </w:rPr>
        <w:t>性）</w:t>
      </w:r>
      <w:r>
        <w:rPr>
          <w:color w:val="auto"/>
          <w:highlight w:val="none"/>
        </w:rPr>
        <w:br w:type="textWrapping"/>
      </w:r>
      <w:bookmarkEnd w:id="111"/>
      <w:r>
        <w:rPr>
          <w:rFonts w:hint="eastAsia"/>
          <w:color w:val="auto"/>
          <w:highlight w:val="none"/>
          <w:lang w:val="en-US" w:eastAsia="zh-CN"/>
        </w:rPr>
        <w:t>网上仲裁庭审中硬件设备的一般性能参数</w:t>
      </w:r>
      <w:bookmarkEnd w:id="109"/>
      <w:bookmarkEnd w:id="110"/>
    </w:p>
    <w:p>
      <w:pPr>
        <w:pStyle w:val="243"/>
        <w:tabs>
          <w:tab w:val="left" w:pos="360"/>
        </w:tabs>
        <w:bidi w:val="0"/>
        <w:ind w:left="0" w:leftChars="0" w:firstLine="0" w:firstLineChars="0"/>
        <w:outlineLvl w:val="2"/>
        <w:rPr>
          <w:rFonts w:hint="eastAsia"/>
          <w:color w:val="auto"/>
          <w:highlight w:val="none"/>
        </w:rPr>
      </w:pPr>
      <w:bookmarkStart w:id="112" w:name="_Toc22156"/>
      <w:bookmarkStart w:id="113" w:name="_Toc16002371"/>
      <w:r>
        <w:rPr>
          <w:rFonts w:hint="eastAsia"/>
          <w:color w:val="auto"/>
          <w:highlight w:val="none"/>
        </w:rPr>
        <w:t>网上仲裁庭审中硬件设备的一般性能参数</w:t>
      </w:r>
      <w:bookmarkEnd w:id="112"/>
    </w:p>
    <w:bookmarkEnd w:id="113"/>
    <w:p>
      <w:pPr>
        <w:pStyle w:val="231"/>
        <w:rPr>
          <w:rFonts w:hint="eastAsia" w:eastAsia="宋体"/>
          <w:color w:val="auto"/>
          <w:szCs w:val="22"/>
          <w:highlight w:val="none"/>
          <w:lang w:eastAsia="zh-CN"/>
        </w:rPr>
      </w:pPr>
      <w:r>
        <w:rPr>
          <w:rFonts w:hint="eastAsia"/>
          <w:color w:val="auto"/>
          <w:szCs w:val="22"/>
          <w:highlight w:val="none"/>
          <w:lang w:val="en-US" w:eastAsia="zh-CN"/>
        </w:rPr>
        <w:t>网上仲裁庭审中硬件设备的一般性能参数</w:t>
      </w:r>
      <w:r>
        <w:rPr>
          <w:rFonts w:hint="eastAsia"/>
          <w:color w:val="auto"/>
          <w:szCs w:val="22"/>
          <w:highlight w:val="none"/>
        </w:rPr>
        <w:t>，见表A.</w:t>
      </w:r>
      <w:r>
        <w:rPr>
          <w:rFonts w:hint="eastAsia"/>
          <w:color w:val="auto"/>
          <w:szCs w:val="22"/>
          <w:highlight w:val="none"/>
          <w:lang w:val="en-US" w:eastAsia="zh-CN"/>
        </w:rPr>
        <w:t>1</w:t>
      </w:r>
      <w:r>
        <w:rPr>
          <w:rFonts w:hint="eastAsia"/>
          <w:color w:val="auto"/>
          <w:szCs w:val="22"/>
          <w:highlight w:val="none"/>
          <w:lang w:eastAsia="zh-CN"/>
        </w:rPr>
        <w:t>：</w:t>
      </w:r>
    </w:p>
    <w:p>
      <w:pPr>
        <w:pStyle w:val="244"/>
        <w:tabs>
          <w:tab w:val="left" w:pos="180"/>
        </w:tabs>
        <w:spacing w:before="156" w:after="156"/>
        <w:ind w:left="0" w:firstLine="0"/>
        <w:outlineLvl w:val="3"/>
        <w:rPr>
          <w:rFonts w:hint="eastAsia"/>
          <w:color w:val="auto"/>
          <w:highlight w:val="none"/>
        </w:rPr>
      </w:pPr>
      <w:r>
        <w:rPr>
          <w:rFonts w:hint="eastAsia"/>
          <w:color w:val="auto"/>
          <w:highlight w:val="none"/>
        </w:rPr>
        <w:tab/>
      </w:r>
      <w:r>
        <w:rPr>
          <w:rFonts w:hint="eastAsia"/>
          <w:color w:val="auto"/>
          <w:highlight w:val="none"/>
        </w:rPr>
        <w:t>网上仲裁庭审中硬件设备的一般性能参数</w:t>
      </w:r>
    </w:p>
    <w:tbl>
      <w:tblPr>
        <w:tblStyle w:val="27"/>
        <w:tblpPr w:leftFromText="180" w:rightFromText="180" w:vertAnchor="text" w:horzAnchor="page" w:tblpX="1823" w:tblpY="47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5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sz w:val="18"/>
                <w:szCs w:val="18"/>
                <w:highlight w:val="none"/>
                <w:lang w:val="en-US" w:eastAsia="zh-CN"/>
              </w:rPr>
            </w:pPr>
            <w:r>
              <w:rPr>
                <w:rFonts w:hint="eastAsia"/>
                <w:b/>
                <w:bCs/>
                <w:color w:val="auto"/>
                <w:sz w:val="18"/>
                <w:szCs w:val="18"/>
                <w:highlight w:val="none"/>
                <w:lang w:val="en-US" w:eastAsia="zh-CN"/>
              </w:rPr>
              <w:t>类别</w:t>
            </w:r>
          </w:p>
        </w:tc>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sz w:val="18"/>
                <w:szCs w:val="18"/>
                <w:highlight w:val="none"/>
                <w:lang w:val="en-US" w:eastAsia="zh-CN"/>
              </w:rPr>
            </w:pPr>
            <w:r>
              <w:rPr>
                <w:rFonts w:hint="eastAsia"/>
                <w:b/>
                <w:bCs/>
                <w:color w:val="auto"/>
                <w:sz w:val="18"/>
                <w:szCs w:val="18"/>
                <w:highlight w:val="none"/>
                <w:lang w:val="en-US" w:eastAsia="zh-CN"/>
              </w:rPr>
              <w:t>名称</w:t>
            </w:r>
          </w:p>
        </w:tc>
        <w:tc>
          <w:tcPr>
            <w:tcW w:w="5372"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sz w:val="18"/>
                <w:szCs w:val="18"/>
                <w:highlight w:val="none"/>
                <w:lang w:val="en-US" w:eastAsia="zh-CN"/>
              </w:rPr>
            </w:pPr>
            <w:r>
              <w:rPr>
                <w:rFonts w:hint="eastAsia"/>
                <w:b/>
                <w:bCs/>
                <w:color w:val="auto"/>
                <w:sz w:val="18"/>
                <w:szCs w:val="18"/>
                <w:highlight w:val="none"/>
                <w:lang w:val="en-US" w:eastAsia="zh-CN"/>
              </w:rPr>
              <w:t>相关参数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sz w:val="18"/>
                <w:szCs w:val="18"/>
                <w:highlight w:val="none"/>
                <w:lang w:val="en-US" w:eastAsia="zh-CN"/>
              </w:rPr>
            </w:pPr>
            <w:r>
              <w:rPr>
                <w:rFonts w:hint="eastAsia"/>
                <w:color w:val="auto"/>
                <w:sz w:val="18"/>
                <w:szCs w:val="18"/>
                <w:highlight w:val="none"/>
                <w:lang w:val="en-US" w:eastAsia="zh-CN"/>
              </w:rPr>
              <w:t>1.网络</w:t>
            </w:r>
          </w:p>
        </w:tc>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sz w:val="18"/>
                <w:szCs w:val="18"/>
                <w:highlight w:val="none"/>
                <w:lang w:val="en-US" w:eastAsia="zh-CN"/>
              </w:rPr>
            </w:pPr>
            <w:r>
              <w:rPr>
                <w:rFonts w:hint="eastAsia"/>
                <w:color w:val="auto"/>
                <w:sz w:val="18"/>
                <w:szCs w:val="18"/>
                <w:highlight w:val="none"/>
                <w:lang w:val="en-US" w:eastAsia="zh-CN"/>
              </w:rPr>
              <w:t>互联网介入</w:t>
            </w:r>
          </w:p>
        </w:tc>
        <w:tc>
          <w:tcPr>
            <w:tcW w:w="5372"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sz w:val="18"/>
                <w:szCs w:val="18"/>
                <w:highlight w:val="none"/>
                <w:lang w:val="en-US" w:eastAsia="zh-CN"/>
              </w:rPr>
            </w:pPr>
            <w:r>
              <w:rPr>
                <w:rFonts w:hint="eastAsia"/>
                <w:color w:val="auto"/>
                <w:sz w:val="18"/>
                <w:szCs w:val="18"/>
                <w:highlight w:val="none"/>
                <w:lang w:val="en-US" w:eastAsia="zh-CN"/>
              </w:rPr>
              <w:t>至少满足4M独享带宽，4M以上更好。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restart"/>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sz w:val="18"/>
                <w:szCs w:val="18"/>
                <w:highlight w:val="none"/>
                <w:lang w:val="en-US" w:eastAsia="zh-CN"/>
              </w:rPr>
            </w:pPr>
            <w:r>
              <w:rPr>
                <w:rFonts w:hint="eastAsia"/>
                <w:color w:val="auto"/>
                <w:sz w:val="18"/>
                <w:szCs w:val="18"/>
                <w:highlight w:val="none"/>
                <w:lang w:val="en-US" w:eastAsia="zh-CN"/>
              </w:rPr>
              <w:t>2.显示设备</w:t>
            </w:r>
          </w:p>
        </w:tc>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sz w:val="18"/>
                <w:szCs w:val="18"/>
                <w:highlight w:val="none"/>
                <w:lang w:val="en-US" w:eastAsia="zh-CN"/>
              </w:rPr>
            </w:pPr>
            <w:r>
              <w:rPr>
                <w:rFonts w:hint="eastAsia"/>
                <w:color w:val="auto"/>
                <w:sz w:val="18"/>
                <w:szCs w:val="18"/>
                <w:highlight w:val="none"/>
                <w:lang w:val="en-US" w:eastAsia="zh-CN"/>
              </w:rPr>
              <w:t>投影仪</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4000流明以上用于30㎡至80㎡；</w:t>
            </w:r>
          </w:p>
          <w:p>
            <w:pPr>
              <w:rPr>
                <w:rFonts w:hint="eastAsia"/>
                <w:color w:val="auto"/>
                <w:sz w:val="18"/>
                <w:szCs w:val="18"/>
                <w:highlight w:val="none"/>
                <w:lang w:val="en-US" w:eastAsia="zh-CN"/>
              </w:rPr>
            </w:pPr>
            <w:r>
              <w:rPr>
                <w:rFonts w:hint="eastAsia"/>
                <w:color w:val="auto"/>
                <w:sz w:val="18"/>
                <w:szCs w:val="18"/>
                <w:highlight w:val="none"/>
                <w:lang w:val="en-US" w:eastAsia="zh-CN"/>
              </w:rPr>
              <w:t>5000流明以上用于80㎡至150㎡；</w:t>
            </w:r>
          </w:p>
          <w:p>
            <w:pPr>
              <w:rPr>
                <w:rFonts w:hint="eastAsia"/>
                <w:color w:val="auto"/>
                <w:sz w:val="18"/>
                <w:szCs w:val="18"/>
                <w:highlight w:val="none"/>
                <w:lang w:val="en-US" w:eastAsia="zh-CN"/>
              </w:rPr>
            </w:pPr>
            <w:r>
              <w:rPr>
                <w:rFonts w:hint="eastAsia"/>
                <w:color w:val="auto"/>
                <w:sz w:val="18"/>
                <w:szCs w:val="18"/>
                <w:highlight w:val="none"/>
                <w:lang w:val="en-US" w:eastAsia="zh-CN"/>
              </w:rPr>
              <w:t>6000流明以上用于150㎡；</w:t>
            </w:r>
          </w:p>
          <w:p>
            <w:pPr>
              <w:rPr>
                <w:rFonts w:hint="eastAsia"/>
                <w:color w:val="auto"/>
                <w:sz w:val="18"/>
                <w:szCs w:val="18"/>
                <w:highlight w:val="none"/>
                <w:lang w:val="en-US" w:eastAsia="zh-CN"/>
              </w:rPr>
            </w:pPr>
            <w:r>
              <w:rPr>
                <w:rFonts w:hint="eastAsia"/>
                <w:color w:val="auto"/>
                <w:sz w:val="18"/>
                <w:szCs w:val="18"/>
                <w:highlight w:val="none"/>
                <w:lang w:val="en-US" w:eastAsia="zh-CN"/>
              </w:rPr>
              <w:t>分辨率支持1024*768及以上。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p>
        </w:tc>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sz w:val="18"/>
                <w:szCs w:val="18"/>
                <w:highlight w:val="none"/>
                <w:lang w:val="en-US" w:eastAsia="zh-CN"/>
              </w:rPr>
            </w:pPr>
            <w:r>
              <w:rPr>
                <w:rFonts w:hint="eastAsia"/>
                <w:color w:val="auto"/>
                <w:sz w:val="18"/>
                <w:szCs w:val="18"/>
                <w:highlight w:val="none"/>
                <w:lang w:val="en-US" w:eastAsia="zh-CN"/>
              </w:rPr>
              <w:t>投影幕</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100英寸应用于50㎡；</w:t>
            </w:r>
          </w:p>
          <w:p>
            <w:pPr>
              <w:rPr>
                <w:rFonts w:hint="eastAsia"/>
                <w:color w:val="auto"/>
                <w:sz w:val="18"/>
                <w:szCs w:val="18"/>
                <w:highlight w:val="none"/>
                <w:lang w:val="en-US" w:eastAsia="zh-CN"/>
              </w:rPr>
            </w:pPr>
            <w:r>
              <w:rPr>
                <w:rFonts w:hint="eastAsia"/>
                <w:color w:val="auto"/>
                <w:sz w:val="18"/>
                <w:szCs w:val="18"/>
                <w:highlight w:val="none"/>
                <w:lang w:val="en-US" w:eastAsia="zh-CN"/>
              </w:rPr>
              <w:t>120英寸应用于50至100㎡；</w:t>
            </w:r>
          </w:p>
          <w:p>
            <w:pPr>
              <w:rPr>
                <w:rFonts w:hint="eastAsia"/>
                <w:color w:val="auto"/>
                <w:sz w:val="18"/>
                <w:szCs w:val="18"/>
                <w:highlight w:val="none"/>
                <w:lang w:val="en-US" w:eastAsia="zh-CN"/>
              </w:rPr>
            </w:pPr>
            <w:r>
              <w:rPr>
                <w:rFonts w:hint="eastAsia"/>
                <w:color w:val="auto"/>
                <w:sz w:val="18"/>
                <w:szCs w:val="18"/>
                <w:highlight w:val="none"/>
                <w:lang w:val="en-US" w:eastAsia="zh-CN"/>
              </w:rPr>
              <w:t>150英寸应用于80至150㎡；</w:t>
            </w:r>
          </w:p>
          <w:p>
            <w:pPr>
              <w:rPr>
                <w:rFonts w:hint="eastAsia"/>
                <w:color w:val="auto"/>
                <w:sz w:val="18"/>
                <w:szCs w:val="18"/>
                <w:highlight w:val="none"/>
                <w:lang w:val="en-US" w:eastAsia="zh-CN"/>
              </w:rPr>
            </w:pPr>
            <w:r>
              <w:rPr>
                <w:rFonts w:hint="eastAsia"/>
                <w:color w:val="auto"/>
                <w:sz w:val="18"/>
                <w:szCs w:val="18"/>
                <w:highlight w:val="none"/>
                <w:lang w:val="en-US" w:eastAsia="zh-CN"/>
              </w:rPr>
              <w:t>150㎡以上根据庭室高度选择150英寸或200英寸；</w:t>
            </w:r>
          </w:p>
          <w:p>
            <w:pPr>
              <w:rPr>
                <w:rFonts w:hint="eastAsia"/>
                <w:color w:val="auto"/>
                <w:sz w:val="18"/>
                <w:szCs w:val="18"/>
                <w:highlight w:val="none"/>
                <w:lang w:val="en-US" w:eastAsia="zh-CN"/>
              </w:rPr>
            </w:pPr>
            <w:r>
              <w:rPr>
                <w:rFonts w:hint="eastAsia"/>
                <w:color w:val="auto"/>
                <w:sz w:val="18"/>
                <w:szCs w:val="18"/>
                <w:highlight w:val="none"/>
                <w:lang w:val="en-US" w:eastAsia="zh-CN"/>
              </w:rPr>
              <w:t>投影比例4:3或者16:9，并与投影仪配套。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p>
        </w:tc>
        <w:tc>
          <w:tcPr>
            <w:tcW w:w="142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sz w:val="18"/>
                <w:szCs w:val="18"/>
                <w:highlight w:val="none"/>
                <w:lang w:val="en-US" w:eastAsia="zh-CN"/>
              </w:rPr>
            </w:pPr>
            <w:r>
              <w:rPr>
                <w:rFonts w:hint="eastAsia"/>
                <w:color w:val="auto"/>
                <w:sz w:val="18"/>
                <w:szCs w:val="18"/>
                <w:highlight w:val="none"/>
                <w:lang w:val="en-US" w:eastAsia="zh-CN"/>
              </w:rPr>
              <w:t>液晶电视</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46寸用于10至30㎡；</w:t>
            </w:r>
          </w:p>
          <w:p>
            <w:pPr>
              <w:rPr>
                <w:rFonts w:hint="eastAsia"/>
                <w:color w:val="auto"/>
                <w:sz w:val="18"/>
                <w:szCs w:val="18"/>
                <w:highlight w:val="none"/>
                <w:lang w:val="en-US" w:eastAsia="zh-CN"/>
              </w:rPr>
            </w:pPr>
            <w:r>
              <w:rPr>
                <w:rFonts w:hint="eastAsia"/>
                <w:color w:val="auto"/>
                <w:sz w:val="18"/>
                <w:szCs w:val="18"/>
                <w:highlight w:val="none"/>
                <w:lang w:val="en-US" w:eastAsia="zh-CN"/>
              </w:rPr>
              <w:t>65寸用于30至50㎡；</w:t>
            </w:r>
          </w:p>
          <w:p>
            <w:pPr>
              <w:rPr>
                <w:rFonts w:hint="eastAsia"/>
                <w:color w:val="auto"/>
                <w:sz w:val="18"/>
                <w:szCs w:val="18"/>
                <w:highlight w:val="none"/>
                <w:lang w:val="en-US" w:eastAsia="zh-CN"/>
              </w:rPr>
            </w:pPr>
            <w:r>
              <w:rPr>
                <w:rFonts w:hint="eastAsia"/>
                <w:color w:val="auto"/>
                <w:sz w:val="18"/>
                <w:szCs w:val="18"/>
                <w:highlight w:val="none"/>
                <w:lang w:val="en-US" w:eastAsia="zh-CN"/>
              </w:rPr>
              <w:t>50㎡及以上一般与投影仪配套和PC配套使用。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智能交互平板</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55寸用于30至50㎡；</w:t>
            </w:r>
          </w:p>
          <w:p>
            <w:pPr>
              <w:rPr>
                <w:rFonts w:hint="eastAsia"/>
                <w:color w:val="auto"/>
                <w:sz w:val="18"/>
                <w:szCs w:val="18"/>
                <w:highlight w:val="none"/>
                <w:lang w:val="en-US" w:eastAsia="zh-CN"/>
              </w:rPr>
            </w:pPr>
            <w:r>
              <w:rPr>
                <w:rFonts w:hint="eastAsia"/>
                <w:color w:val="auto"/>
                <w:sz w:val="18"/>
                <w:szCs w:val="18"/>
                <w:highlight w:val="none"/>
                <w:lang w:val="en-US" w:eastAsia="zh-CN"/>
              </w:rPr>
              <w:t>65寸用于50至80㎡；</w:t>
            </w:r>
          </w:p>
          <w:p>
            <w:pPr>
              <w:rPr>
                <w:rFonts w:hint="eastAsia"/>
                <w:color w:val="auto"/>
                <w:sz w:val="18"/>
                <w:szCs w:val="18"/>
                <w:highlight w:val="none"/>
                <w:lang w:val="en-US" w:eastAsia="zh-CN"/>
              </w:rPr>
            </w:pPr>
            <w:r>
              <w:rPr>
                <w:rFonts w:hint="eastAsia"/>
                <w:color w:val="auto"/>
                <w:sz w:val="18"/>
                <w:szCs w:val="18"/>
                <w:highlight w:val="none"/>
                <w:lang w:val="en-US" w:eastAsia="zh-CN"/>
              </w:rPr>
              <w:t>内置Win7及以上操作系统；</w:t>
            </w:r>
          </w:p>
          <w:p>
            <w:pPr>
              <w:rPr>
                <w:rFonts w:hint="eastAsia"/>
                <w:color w:val="auto"/>
                <w:sz w:val="18"/>
                <w:szCs w:val="18"/>
                <w:highlight w:val="none"/>
                <w:lang w:val="en-US" w:eastAsia="zh-CN"/>
              </w:rPr>
            </w:pPr>
            <w:r>
              <w:rPr>
                <w:rFonts w:hint="eastAsia"/>
                <w:color w:val="auto"/>
                <w:sz w:val="18"/>
                <w:szCs w:val="18"/>
                <w:highlight w:val="none"/>
                <w:lang w:val="en-US" w:eastAsia="zh-CN"/>
              </w:rPr>
              <w:t>支持触摸交互功能；</w:t>
            </w:r>
          </w:p>
          <w:p>
            <w:pPr>
              <w:rPr>
                <w:rFonts w:hint="eastAsia"/>
                <w:color w:val="auto"/>
                <w:sz w:val="18"/>
                <w:szCs w:val="18"/>
                <w:highlight w:val="none"/>
                <w:lang w:val="en-US" w:eastAsia="zh-CN"/>
              </w:rPr>
            </w:pPr>
            <w:r>
              <w:rPr>
                <w:rFonts w:hint="eastAsia"/>
                <w:color w:val="auto"/>
                <w:sz w:val="18"/>
                <w:szCs w:val="18"/>
                <w:highlight w:val="none"/>
                <w:lang w:val="en-US" w:eastAsia="zh-CN"/>
              </w:rPr>
              <w:t>在50㎡及以上一般与投影仪配套使用；</w:t>
            </w:r>
          </w:p>
          <w:p>
            <w:pPr>
              <w:rPr>
                <w:rFonts w:hint="eastAsia"/>
                <w:color w:val="auto"/>
                <w:sz w:val="18"/>
                <w:szCs w:val="18"/>
                <w:highlight w:val="none"/>
                <w:lang w:val="en-US" w:eastAsia="zh-CN"/>
              </w:rPr>
            </w:pPr>
            <w:r>
              <w:rPr>
                <w:rFonts w:hint="eastAsia"/>
                <w:color w:val="auto"/>
                <w:sz w:val="18"/>
                <w:szCs w:val="18"/>
                <w:highlight w:val="none"/>
                <w:lang w:val="en-US" w:eastAsia="zh-CN"/>
              </w:rPr>
              <w:t>建议配套无线键盘和鼠标，方便远距离操作。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restart"/>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3.视频采集</w:t>
            </w: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摄像头</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10至30㎡可选用高端USB摄像头；</w:t>
            </w:r>
          </w:p>
          <w:p>
            <w:pPr>
              <w:rPr>
                <w:rFonts w:hint="eastAsia"/>
                <w:color w:val="auto"/>
                <w:sz w:val="18"/>
                <w:szCs w:val="18"/>
                <w:highlight w:val="none"/>
                <w:lang w:val="en-US" w:eastAsia="zh-CN"/>
              </w:rPr>
            </w:pPr>
            <w:r>
              <w:rPr>
                <w:rFonts w:hint="eastAsia"/>
                <w:color w:val="auto"/>
                <w:sz w:val="18"/>
                <w:szCs w:val="18"/>
                <w:highlight w:val="none"/>
                <w:lang w:val="en-US" w:eastAsia="zh-CN"/>
              </w:rPr>
              <w:t>30㎡以上选择安装型摄像头，该类型摄像头需要具有全方位云台；</w:t>
            </w:r>
          </w:p>
          <w:p>
            <w:pPr>
              <w:rPr>
                <w:rFonts w:hint="eastAsia"/>
                <w:color w:val="auto"/>
                <w:sz w:val="18"/>
                <w:szCs w:val="18"/>
                <w:highlight w:val="none"/>
                <w:lang w:val="en-US" w:eastAsia="zh-CN"/>
              </w:rPr>
            </w:pPr>
            <w:r>
              <w:rPr>
                <w:rFonts w:hint="eastAsia"/>
                <w:color w:val="auto"/>
                <w:sz w:val="18"/>
                <w:szCs w:val="18"/>
                <w:highlight w:val="none"/>
                <w:lang w:val="en-US" w:eastAsia="zh-CN"/>
              </w:rPr>
              <w:t>支持吊装；</w:t>
            </w:r>
          </w:p>
          <w:p>
            <w:pPr>
              <w:rPr>
                <w:rFonts w:hint="eastAsia"/>
                <w:color w:val="auto"/>
                <w:sz w:val="18"/>
                <w:szCs w:val="18"/>
                <w:highlight w:val="none"/>
                <w:lang w:val="en-US" w:eastAsia="zh-CN"/>
              </w:rPr>
            </w:pPr>
            <w:r>
              <w:rPr>
                <w:rFonts w:hint="eastAsia"/>
                <w:color w:val="auto"/>
                <w:sz w:val="18"/>
                <w:szCs w:val="18"/>
                <w:highlight w:val="none"/>
                <w:lang w:val="en-US" w:eastAsia="zh-CN"/>
              </w:rPr>
              <w:t>水平清晰度达到470TV Lines 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采集卡</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支持标清及以上视频采集，和安装型摄像头配套使用，和面积大小无关。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restart"/>
          </w:tcPr>
          <w:p>
            <w:pPr>
              <w:rPr>
                <w:rFonts w:hint="eastAsia"/>
                <w:color w:val="auto"/>
                <w:sz w:val="18"/>
                <w:szCs w:val="18"/>
                <w:highlight w:val="none"/>
                <w:lang w:val="en-US" w:eastAsia="zh-CN"/>
              </w:rPr>
            </w:pPr>
            <w:r>
              <w:rPr>
                <w:rFonts w:hint="eastAsia"/>
                <w:color w:val="auto"/>
                <w:sz w:val="18"/>
                <w:szCs w:val="18"/>
                <w:highlight w:val="none"/>
                <w:lang w:val="en-US" w:eastAsia="zh-CN"/>
              </w:rPr>
              <w:t>4.音频设备</w:t>
            </w: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全向麦</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10至30㎡选择单个或串联全向麦；</w:t>
            </w:r>
          </w:p>
          <w:p>
            <w:pPr>
              <w:rPr>
                <w:rFonts w:hint="eastAsia"/>
                <w:color w:val="auto"/>
                <w:sz w:val="18"/>
                <w:szCs w:val="18"/>
                <w:highlight w:val="none"/>
                <w:lang w:val="en-US" w:eastAsia="zh-CN"/>
              </w:rPr>
            </w:pPr>
            <w:r>
              <w:rPr>
                <w:rFonts w:hint="eastAsia"/>
                <w:color w:val="auto"/>
                <w:sz w:val="18"/>
                <w:szCs w:val="18"/>
                <w:highlight w:val="none"/>
                <w:lang w:val="en-US" w:eastAsia="zh-CN"/>
              </w:rPr>
              <w:t>支持全双工音频通信：</w:t>
            </w:r>
          </w:p>
          <w:p>
            <w:pPr>
              <w:rPr>
                <w:rFonts w:hint="eastAsia"/>
                <w:color w:val="auto"/>
                <w:sz w:val="18"/>
                <w:szCs w:val="18"/>
                <w:highlight w:val="none"/>
                <w:lang w:val="en-US" w:eastAsia="zh-CN"/>
              </w:rPr>
            </w:pPr>
            <w:r>
              <w:rPr>
                <w:rFonts w:hint="eastAsia"/>
                <w:color w:val="auto"/>
                <w:sz w:val="18"/>
                <w:szCs w:val="18"/>
                <w:highlight w:val="none"/>
                <w:lang w:val="en-US" w:eastAsia="zh-CN"/>
              </w:rPr>
              <w:t>支持USB连接；</w:t>
            </w:r>
          </w:p>
          <w:p>
            <w:pPr>
              <w:rPr>
                <w:rFonts w:hint="eastAsia"/>
                <w:color w:val="auto"/>
                <w:sz w:val="18"/>
                <w:szCs w:val="18"/>
                <w:highlight w:val="none"/>
                <w:lang w:val="en-US" w:eastAsia="zh-CN"/>
              </w:rPr>
            </w:pPr>
            <w:r>
              <w:rPr>
                <w:rFonts w:hint="eastAsia"/>
                <w:color w:val="auto"/>
                <w:sz w:val="18"/>
                <w:szCs w:val="18"/>
                <w:highlight w:val="none"/>
                <w:lang w:val="en-US" w:eastAsia="zh-CN"/>
              </w:rPr>
              <w:t>360度拾音：</w:t>
            </w:r>
          </w:p>
          <w:p>
            <w:pPr>
              <w:rPr>
                <w:rFonts w:hint="eastAsia"/>
                <w:color w:val="auto"/>
                <w:sz w:val="18"/>
                <w:szCs w:val="18"/>
                <w:highlight w:val="none"/>
                <w:lang w:val="en-US" w:eastAsia="zh-CN"/>
              </w:rPr>
            </w:pPr>
            <w:r>
              <w:rPr>
                <w:rFonts w:hint="eastAsia"/>
                <w:color w:val="auto"/>
                <w:sz w:val="18"/>
                <w:szCs w:val="18"/>
                <w:highlight w:val="none"/>
                <w:lang w:val="en-US" w:eastAsia="zh-CN"/>
              </w:rPr>
              <w:t>内置回声和噪声处理功能；</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30㎡以上需选择安装型会议音频处理器以及配套麦克音箱等使用。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rPr>
                <w:rFonts w:hint="eastAsia"/>
                <w:color w:val="auto"/>
                <w:sz w:val="18"/>
                <w:szCs w:val="18"/>
                <w:highlight w:val="none"/>
                <w:lang w:val="en-US" w:eastAsia="zh-CN"/>
              </w:rPr>
            </w:pP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麦克</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电容模拟麦克风建议数量在6支以下；</w:t>
            </w:r>
          </w:p>
          <w:p>
            <w:pPr>
              <w:rPr>
                <w:rFonts w:hint="eastAsia"/>
                <w:color w:val="auto"/>
                <w:sz w:val="18"/>
                <w:szCs w:val="18"/>
                <w:highlight w:val="none"/>
                <w:lang w:val="en-US" w:eastAsia="zh-CN"/>
              </w:rPr>
            </w:pPr>
            <w:r>
              <w:rPr>
                <w:rFonts w:hint="eastAsia"/>
                <w:color w:val="auto"/>
                <w:sz w:val="18"/>
                <w:szCs w:val="18"/>
                <w:highlight w:val="none"/>
                <w:lang w:val="en-US" w:eastAsia="zh-CN"/>
              </w:rPr>
              <w:t>6支以上建议使用数字手拉手话筒；</w:t>
            </w:r>
          </w:p>
          <w:p>
            <w:pPr>
              <w:rPr>
                <w:rFonts w:hint="eastAsia"/>
                <w:color w:val="auto"/>
                <w:sz w:val="18"/>
                <w:szCs w:val="18"/>
                <w:highlight w:val="none"/>
                <w:lang w:val="en-US" w:eastAsia="zh-CN"/>
              </w:rPr>
            </w:pPr>
            <w:r>
              <w:rPr>
                <w:rFonts w:hint="eastAsia"/>
                <w:color w:val="auto"/>
                <w:sz w:val="18"/>
                <w:szCs w:val="18"/>
                <w:highlight w:val="none"/>
                <w:lang w:val="en-US" w:eastAsia="zh-CN"/>
              </w:rPr>
              <w:t>无线手持或者鹅颈麦克见风作为补充；</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话筒选择与面积无关。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rPr>
                <w:rFonts w:hint="eastAsia"/>
                <w:color w:val="auto"/>
                <w:sz w:val="18"/>
                <w:szCs w:val="18"/>
                <w:highlight w:val="none"/>
                <w:lang w:val="en-US" w:eastAsia="zh-CN"/>
              </w:rPr>
            </w:pP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音响和功放</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2 只 50至100W 用于30至50㎡；</w:t>
            </w:r>
          </w:p>
          <w:p>
            <w:pPr>
              <w:rPr>
                <w:rFonts w:hint="eastAsia"/>
                <w:color w:val="auto"/>
                <w:sz w:val="18"/>
                <w:szCs w:val="18"/>
                <w:highlight w:val="none"/>
                <w:lang w:val="en-US" w:eastAsia="zh-CN"/>
              </w:rPr>
            </w:pPr>
            <w:r>
              <w:rPr>
                <w:rFonts w:hint="eastAsia"/>
                <w:color w:val="auto"/>
                <w:sz w:val="18"/>
                <w:szCs w:val="18"/>
                <w:highlight w:val="none"/>
                <w:lang w:val="en-US" w:eastAsia="zh-CN"/>
              </w:rPr>
              <w:t>2-4只100至150W用于50至80㎡；</w:t>
            </w:r>
          </w:p>
          <w:p>
            <w:pPr>
              <w:rPr>
                <w:rFonts w:hint="eastAsia"/>
                <w:color w:val="auto"/>
                <w:sz w:val="18"/>
                <w:szCs w:val="18"/>
                <w:highlight w:val="none"/>
                <w:lang w:val="en-US" w:eastAsia="zh-CN"/>
              </w:rPr>
            </w:pPr>
            <w:r>
              <w:rPr>
                <w:rFonts w:hint="eastAsia"/>
                <w:color w:val="auto"/>
                <w:sz w:val="18"/>
                <w:szCs w:val="18"/>
                <w:highlight w:val="none"/>
                <w:lang w:val="en-US" w:eastAsia="zh-CN"/>
              </w:rPr>
              <w:t>4只 150至300W 用于80至150㎡；</w:t>
            </w:r>
          </w:p>
          <w:p>
            <w:pPr>
              <w:rPr>
                <w:rFonts w:hint="eastAsia"/>
                <w:color w:val="auto"/>
                <w:sz w:val="18"/>
                <w:szCs w:val="18"/>
                <w:highlight w:val="none"/>
                <w:lang w:val="en-US" w:eastAsia="zh-CN"/>
              </w:rPr>
            </w:pPr>
            <w:r>
              <w:rPr>
                <w:rFonts w:hint="eastAsia"/>
                <w:color w:val="auto"/>
                <w:sz w:val="18"/>
                <w:szCs w:val="18"/>
                <w:highlight w:val="none"/>
                <w:lang w:val="en-US" w:eastAsia="zh-CN"/>
              </w:rPr>
              <w:t>4-6只150至300W用于150㎡以上面积；</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具体根据庭室的布局设计相关进行调整。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rPr>
                <w:rFonts w:hint="eastAsia"/>
                <w:color w:val="auto"/>
                <w:sz w:val="18"/>
                <w:szCs w:val="18"/>
                <w:highlight w:val="none"/>
                <w:lang w:val="en-US" w:eastAsia="zh-CN"/>
              </w:rPr>
            </w:pP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音频处理器</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30至80㎡选用4路输入和输出；</w:t>
            </w:r>
          </w:p>
          <w:p>
            <w:pPr>
              <w:rPr>
                <w:rFonts w:hint="eastAsia"/>
                <w:color w:val="auto"/>
                <w:sz w:val="18"/>
                <w:szCs w:val="18"/>
                <w:highlight w:val="none"/>
                <w:lang w:val="en-US" w:eastAsia="zh-CN"/>
              </w:rPr>
            </w:pPr>
            <w:r>
              <w:rPr>
                <w:rFonts w:hint="eastAsia"/>
                <w:color w:val="auto"/>
                <w:sz w:val="18"/>
                <w:szCs w:val="18"/>
                <w:highlight w:val="none"/>
                <w:lang w:val="en-US" w:eastAsia="zh-CN"/>
              </w:rPr>
              <w:t>80至150㎡选用8路输入和输出；</w:t>
            </w:r>
          </w:p>
          <w:p>
            <w:pPr>
              <w:rPr>
                <w:rFonts w:hint="eastAsia"/>
                <w:color w:val="auto"/>
                <w:sz w:val="18"/>
                <w:szCs w:val="18"/>
                <w:highlight w:val="none"/>
                <w:lang w:val="en-US" w:eastAsia="zh-CN"/>
              </w:rPr>
            </w:pPr>
            <w:r>
              <w:rPr>
                <w:rFonts w:hint="eastAsia"/>
                <w:color w:val="auto"/>
                <w:sz w:val="18"/>
                <w:szCs w:val="18"/>
                <w:highlight w:val="none"/>
                <w:lang w:val="en-US" w:eastAsia="zh-CN"/>
              </w:rPr>
              <w:t>150㎡以上选用8路输入和输出；</w:t>
            </w:r>
          </w:p>
          <w:p>
            <w:pPr>
              <w:rPr>
                <w:rFonts w:hint="eastAsia"/>
                <w:color w:val="auto"/>
                <w:sz w:val="18"/>
                <w:szCs w:val="18"/>
                <w:highlight w:val="none"/>
                <w:lang w:val="en-US" w:eastAsia="zh-CN"/>
              </w:rPr>
            </w:pPr>
            <w:r>
              <w:rPr>
                <w:rFonts w:hint="eastAsia"/>
                <w:color w:val="auto"/>
                <w:sz w:val="18"/>
                <w:szCs w:val="18"/>
                <w:highlight w:val="none"/>
                <w:lang w:val="en-US" w:eastAsia="zh-CN"/>
              </w:rPr>
              <w:t>支持USB接口、以太网接口、RS232串行接口；</w:t>
            </w:r>
          </w:p>
          <w:p>
            <w:pPr>
              <w:rPr>
                <w:rFonts w:hint="eastAsia"/>
                <w:color w:val="auto"/>
                <w:sz w:val="18"/>
                <w:szCs w:val="18"/>
                <w:highlight w:val="none"/>
                <w:lang w:val="en-US" w:eastAsia="zh-CN"/>
              </w:rPr>
            </w:pPr>
            <w:r>
              <w:rPr>
                <w:rFonts w:hint="eastAsia"/>
                <w:color w:val="auto"/>
                <w:sz w:val="18"/>
                <w:szCs w:val="18"/>
                <w:highlight w:val="none"/>
                <w:lang w:val="en-US" w:eastAsia="zh-CN"/>
              </w:rPr>
              <w:t>智慧多路音频的输入和输出；</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提供控制软件，能够自定义应用需求。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rPr>
                <w:rFonts w:hint="eastAsia"/>
                <w:color w:val="auto"/>
                <w:sz w:val="18"/>
                <w:szCs w:val="18"/>
                <w:highlight w:val="none"/>
                <w:lang w:val="en-US" w:eastAsia="zh-CN"/>
              </w:rPr>
            </w:pP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调音台</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30㎡以上使用；</w:t>
            </w:r>
          </w:p>
          <w:p>
            <w:pPr>
              <w:rPr>
                <w:rFonts w:hint="eastAsia"/>
                <w:color w:val="auto"/>
                <w:sz w:val="18"/>
                <w:szCs w:val="18"/>
                <w:highlight w:val="none"/>
                <w:lang w:val="en-US" w:eastAsia="zh-CN"/>
              </w:rPr>
            </w:pPr>
            <w:r>
              <w:rPr>
                <w:rFonts w:hint="eastAsia"/>
                <w:color w:val="auto"/>
                <w:sz w:val="18"/>
                <w:szCs w:val="18"/>
                <w:highlight w:val="none"/>
                <w:lang w:val="en-US" w:eastAsia="zh-CN"/>
              </w:rPr>
              <w:t>30至80㎡选用4路输入；</w:t>
            </w:r>
          </w:p>
          <w:p>
            <w:pPr>
              <w:rPr>
                <w:rFonts w:hint="eastAsia"/>
                <w:color w:val="auto"/>
                <w:sz w:val="18"/>
                <w:szCs w:val="18"/>
                <w:highlight w:val="none"/>
                <w:lang w:val="en-US" w:eastAsia="zh-CN"/>
              </w:rPr>
            </w:pPr>
            <w:r>
              <w:rPr>
                <w:rFonts w:hint="eastAsia"/>
                <w:color w:val="auto"/>
                <w:sz w:val="18"/>
                <w:szCs w:val="18"/>
                <w:highlight w:val="none"/>
                <w:lang w:val="en-US" w:eastAsia="zh-CN"/>
              </w:rPr>
              <w:t>80至150㎡选用8路输入；</w:t>
            </w:r>
          </w:p>
          <w:p>
            <w:pPr>
              <w:rPr>
                <w:rFonts w:hint="eastAsia"/>
                <w:color w:val="auto"/>
                <w:sz w:val="18"/>
                <w:szCs w:val="18"/>
                <w:highlight w:val="none"/>
                <w:lang w:val="en-US" w:eastAsia="zh-CN"/>
              </w:rPr>
            </w:pPr>
            <w:r>
              <w:rPr>
                <w:rFonts w:hint="eastAsia"/>
                <w:color w:val="auto"/>
                <w:sz w:val="18"/>
                <w:szCs w:val="18"/>
                <w:highlight w:val="none"/>
                <w:lang w:val="en-US" w:eastAsia="zh-CN"/>
              </w:rPr>
              <w:t>150㎡以上根据需要选择8路及以上输入；</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支持立体声。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5.PC</w:t>
            </w:r>
          </w:p>
        </w:tc>
        <w:tc>
          <w:tcPr>
            <w:tcW w:w="1420" w:type="dxa"/>
          </w:tcPr>
          <w:p>
            <w:pPr>
              <w:rPr>
                <w:rFonts w:hint="eastAsia"/>
                <w:color w:val="auto"/>
                <w:sz w:val="18"/>
                <w:szCs w:val="18"/>
                <w:highlight w:val="none"/>
                <w:lang w:val="en-US" w:eastAsia="zh-CN"/>
              </w:rPr>
            </w:pPr>
            <w:r>
              <w:rPr>
                <w:rFonts w:hint="eastAsia"/>
                <w:color w:val="auto"/>
                <w:sz w:val="18"/>
                <w:szCs w:val="18"/>
                <w:highlight w:val="none"/>
                <w:lang w:val="en-US" w:eastAsia="zh-CN"/>
              </w:rPr>
              <w:t>电脑</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最低配置：</w:t>
            </w:r>
          </w:p>
          <w:p>
            <w:pPr>
              <w:rPr>
                <w:rFonts w:hint="eastAsia"/>
                <w:color w:val="auto"/>
                <w:sz w:val="18"/>
                <w:szCs w:val="18"/>
                <w:highlight w:val="none"/>
                <w:lang w:val="en-US" w:eastAsia="zh-CN"/>
              </w:rPr>
            </w:pPr>
            <w:r>
              <w:rPr>
                <w:rFonts w:hint="eastAsia"/>
                <w:color w:val="auto"/>
                <w:sz w:val="18"/>
                <w:szCs w:val="18"/>
                <w:highlight w:val="none"/>
                <w:lang w:val="en-US" w:eastAsia="zh-CN"/>
              </w:rPr>
              <w:t>硬盘：250G及以上；</w:t>
            </w:r>
          </w:p>
          <w:p>
            <w:pPr>
              <w:rPr>
                <w:rFonts w:hint="eastAsia"/>
                <w:color w:val="auto"/>
                <w:sz w:val="18"/>
                <w:szCs w:val="18"/>
                <w:highlight w:val="none"/>
                <w:lang w:val="en-US" w:eastAsia="zh-CN"/>
              </w:rPr>
            </w:pPr>
            <w:r>
              <w:rPr>
                <w:rFonts w:hint="eastAsia"/>
                <w:color w:val="auto"/>
                <w:sz w:val="18"/>
                <w:szCs w:val="18"/>
                <w:highlight w:val="none"/>
                <w:lang w:val="en-US" w:eastAsia="zh-CN"/>
              </w:rPr>
              <w:t>内存：2G及以上；</w:t>
            </w:r>
          </w:p>
          <w:p>
            <w:pPr>
              <w:rPr>
                <w:rFonts w:hint="eastAsia"/>
                <w:color w:val="auto"/>
                <w:sz w:val="18"/>
                <w:szCs w:val="18"/>
                <w:highlight w:val="none"/>
                <w:lang w:val="en-US" w:eastAsia="zh-CN"/>
              </w:rPr>
            </w:pPr>
            <w:r>
              <w:rPr>
                <w:rFonts w:hint="eastAsia"/>
                <w:color w:val="auto"/>
                <w:sz w:val="18"/>
                <w:szCs w:val="18"/>
                <w:highlight w:val="none"/>
                <w:lang w:val="en-US" w:eastAsia="zh-CN"/>
              </w:rPr>
              <w:t>CPU：酷睿双核i5以上；</w:t>
            </w:r>
          </w:p>
          <w:p>
            <w:pPr>
              <w:rPr>
                <w:rFonts w:hint="eastAsia"/>
                <w:color w:val="auto"/>
                <w:sz w:val="18"/>
                <w:szCs w:val="18"/>
                <w:highlight w:val="none"/>
                <w:lang w:val="en-US" w:eastAsia="zh-CN"/>
              </w:rPr>
            </w:pPr>
            <w:r>
              <w:rPr>
                <w:rFonts w:hint="eastAsia"/>
                <w:color w:val="auto"/>
                <w:sz w:val="18"/>
                <w:szCs w:val="18"/>
                <w:highlight w:val="none"/>
                <w:lang w:val="en-US" w:eastAsia="zh-CN"/>
              </w:rPr>
              <w:t>显卡：独立显卡，显存1G；</w:t>
            </w:r>
          </w:p>
          <w:p>
            <w:pPr>
              <w:rPr>
                <w:rFonts w:hint="eastAsia"/>
                <w:color w:val="auto"/>
                <w:sz w:val="18"/>
                <w:szCs w:val="18"/>
                <w:highlight w:val="none"/>
                <w:lang w:val="en-US" w:eastAsia="zh-CN"/>
              </w:rPr>
            </w:pPr>
            <w:r>
              <w:rPr>
                <w:rFonts w:hint="eastAsia"/>
                <w:color w:val="auto"/>
                <w:sz w:val="18"/>
                <w:szCs w:val="18"/>
                <w:highlight w:val="none"/>
                <w:lang w:val="en-US" w:eastAsia="zh-CN"/>
              </w:rPr>
              <w:t>操作系统：操作系统为Win7及以上；</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建议预装杀毒软件。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hint="default"/>
                <w:color w:val="auto"/>
                <w:sz w:val="18"/>
                <w:szCs w:val="18"/>
                <w:highlight w:val="none"/>
                <w:lang w:val="en-US" w:eastAsia="zh-CN"/>
              </w:rPr>
            </w:pPr>
            <w:r>
              <w:rPr>
                <w:rFonts w:hint="eastAsia"/>
                <w:color w:val="auto"/>
                <w:sz w:val="18"/>
                <w:szCs w:val="18"/>
                <w:highlight w:val="none"/>
                <w:lang w:val="en-US" w:eastAsia="zh-CN"/>
              </w:rPr>
              <w:t>6.移动端</w:t>
            </w:r>
          </w:p>
        </w:tc>
        <w:tc>
          <w:tcPr>
            <w:tcW w:w="1420" w:type="dxa"/>
          </w:tcPr>
          <w:p>
            <w:pPr>
              <w:rPr>
                <w:rFonts w:hint="default"/>
                <w:color w:val="auto"/>
                <w:sz w:val="18"/>
                <w:szCs w:val="18"/>
                <w:highlight w:val="none"/>
                <w:lang w:val="en-US" w:eastAsia="zh-CN"/>
              </w:rPr>
            </w:pPr>
            <w:r>
              <w:rPr>
                <w:rFonts w:hint="eastAsia"/>
                <w:color w:val="auto"/>
                <w:sz w:val="18"/>
                <w:szCs w:val="18"/>
                <w:highlight w:val="none"/>
                <w:lang w:val="en-US" w:eastAsia="zh-CN"/>
              </w:rPr>
              <w:t>手机</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最低配置：</w:t>
            </w:r>
          </w:p>
          <w:p>
            <w:pPr>
              <w:rPr>
                <w:rFonts w:hint="eastAsia"/>
                <w:color w:val="auto"/>
                <w:sz w:val="18"/>
                <w:szCs w:val="18"/>
                <w:highlight w:val="none"/>
                <w:lang w:val="en-US" w:eastAsia="zh-CN"/>
              </w:rPr>
            </w:pPr>
            <w:r>
              <w:rPr>
                <w:rFonts w:hint="eastAsia"/>
                <w:color w:val="auto"/>
                <w:sz w:val="18"/>
                <w:szCs w:val="18"/>
                <w:highlight w:val="none"/>
                <w:lang w:val="en-US" w:eastAsia="zh-CN"/>
              </w:rPr>
              <w:t>RAM容量：4G及以上</w:t>
            </w:r>
          </w:p>
          <w:p>
            <w:pPr>
              <w:rPr>
                <w:rFonts w:hint="default"/>
                <w:color w:val="auto"/>
                <w:sz w:val="18"/>
                <w:szCs w:val="18"/>
                <w:highlight w:val="none"/>
                <w:lang w:val="en-US" w:eastAsia="zh-CN"/>
              </w:rPr>
            </w:pPr>
            <w:r>
              <w:rPr>
                <w:rFonts w:hint="eastAsia"/>
                <w:color w:val="auto"/>
                <w:sz w:val="18"/>
                <w:szCs w:val="18"/>
                <w:highlight w:val="none"/>
                <w:lang w:val="en-US" w:eastAsia="zh-CN"/>
              </w:rPr>
              <w:t>ROM容量：64G及以上</w:t>
            </w:r>
          </w:p>
          <w:p>
            <w:pPr>
              <w:rPr>
                <w:rFonts w:hint="eastAsia"/>
                <w:color w:val="auto"/>
                <w:sz w:val="18"/>
                <w:szCs w:val="18"/>
                <w:highlight w:val="none"/>
                <w:lang w:val="en-US" w:eastAsia="zh-CN"/>
              </w:rPr>
            </w:pPr>
            <w:r>
              <w:rPr>
                <w:rFonts w:hint="eastAsia"/>
                <w:color w:val="auto"/>
                <w:sz w:val="18"/>
                <w:szCs w:val="18"/>
                <w:highlight w:val="none"/>
                <w:lang w:val="en-US" w:eastAsia="zh-CN"/>
              </w:rPr>
              <w:t>操作系统：ios8及以上，Android 5.0及以上</w:t>
            </w:r>
          </w:p>
          <w:p>
            <w:pPr>
              <w:rPr>
                <w:rFonts w:hint="default"/>
                <w:color w:val="auto"/>
                <w:sz w:val="18"/>
                <w:szCs w:val="18"/>
                <w:highlight w:val="none"/>
                <w:lang w:val="en-US" w:eastAsia="zh-CN"/>
              </w:rPr>
            </w:pPr>
            <w:r>
              <w:rPr>
                <w:rFonts w:hint="eastAsia"/>
                <w:color w:val="auto"/>
                <w:sz w:val="18"/>
                <w:szCs w:val="18"/>
                <w:highlight w:val="none"/>
                <w:lang w:val="en-US" w:eastAsia="zh-CN"/>
              </w:rPr>
              <w:t>具备前置摄像头、扬声器和麦克风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restart"/>
          </w:tcPr>
          <w:p>
            <w:pPr>
              <w:rPr>
                <w:rFonts w:hint="default"/>
                <w:color w:val="auto"/>
                <w:sz w:val="18"/>
                <w:szCs w:val="18"/>
                <w:highlight w:val="none"/>
                <w:lang w:val="en-US" w:eastAsia="zh-CN"/>
              </w:rPr>
            </w:pPr>
            <w:r>
              <w:rPr>
                <w:rFonts w:hint="eastAsia"/>
                <w:color w:val="auto"/>
                <w:sz w:val="18"/>
                <w:szCs w:val="18"/>
                <w:highlight w:val="none"/>
                <w:lang w:val="en-US" w:eastAsia="zh-CN"/>
              </w:rPr>
              <w:t>7.录音录像</w:t>
            </w:r>
          </w:p>
        </w:tc>
        <w:tc>
          <w:tcPr>
            <w:tcW w:w="1420" w:type="dxa"/>
          </w:tcPr>
          <w:p>
            <w:pPr>
              <w:rPr>
                <w:rFonts w:hint="default"/>
                <w:color w:val="auto"/>
                <w:sz w:val="18"/>
                <w:szCs w:val="18"/>
                <w:highlight w:val="none"/>
                <w:lang w:val="en-US" w:eastAsia="zh-CN"/>
              </w:rPr>
            </w:pPr>
            <w:r>
              <w:rPr>
                <w:rFonts w:hint="eastAsia"/>
                <w:color w:val="auto"/>
                <w:sz w:val="18"/>
                <w:szCs w:val="18"/>
                <w:highlight w:val="none"/>
                <w:lang w:val="en-US" w:eastAsia="zh-CN"/>
              </w:rPr>
              <w:t>录音</w:t>
            </w:r>
          </w:p>
        </w:tc>
        <w:tc>
          <w:tcPr>
            <w:tcW w:w="5372" w:type="dxa"/>
          </w:tcPr>
          <w:p>
            <w:pPr>
              <w:rPr>
                <w:rFonts w:hint="default"/>
                <w:color w:val="auto"/>
                <w:sz w:val="18"/>
                <w:szCs w:val="18"/>
                <w:highlight w:val="none"/>
                <w:lang w:val="en-US" w:eastAsia="zh-CN"/>
              </w:rPr>
            </w:pPr>
            <w:r>
              <w:rPr>
                <w:rFonts w:hint="eastAsia"/>
                <w:color w:val="auto"/>
                <w:sz w:val="18"/>
                <w:szCs w:val="18"/>
                <w:highlight w:val="none"/>
                <w:lang w:val="en-US" w:eastAsia="zh-CN"/>
              </w:rPr>
              <w:t>文件格式：WAV</w:t>
            </w:r>
          </w:p>
          <w:p>
            <w:pPr>
              <w:rPr>
                <w:rFonts w:hint="eastAsia"/>
                <w:color w:val="auto"/>
                <w:sz w:val="18"/>
                <w:szCs w:val="18"/>
                <w:highlight w:val="none"/>
                <w:lang w:val="en-US" w:eastAsia="zh-CN"/>
              </w:rPr>
            </w:pPr>
            <w:r>
              <w:rPr>
                <w:rFonts w:hint="eastAsia"/>
                <w:color w:val="auto"/>
                <w:sz w:val="18"/>
                <w:szCs w:val="18"/>
                <w:highlight w:val="none"/>
                <w:lang w:val="en-US" w:eastAsia="zh-CN"/>
              </w:rPr>
              <w:t>文件采样率不低于44.1KHz 量化</w:t>
            </w:r>
          </w:p>
          <w:p>
            <w:pPr>
              <w:rPr>
                <w:rFonts w:hint="eastAsia"/>
                <w:color w:val="auto"/>
                <w:sz w:val="18"/>
                <w:szCs w:val="18"/>
                <w:highlight w:val="none"/>
                <w:lang w:val="en-US" w:eastAsia="zh-CN"/>
              </w:rPr>
            </w:pPr>
            <w:r>
              <w:rPr>
                <w:rFonts w:hint="eastAsia"/>
                <w:color w:val="auto"/>
                <w:sz w:val="18"/>
                <w:szCs w:val="18"/>
                <w:highlight w:val="none"/>
                <w:lang w:val="en-US" w:eastAsia="zh-CN"/>
              </w:rPr>
              <w:t>量化位数：24bit</w:t>
            </w:r>
          </w:p>
          <w:p>
            <w:pPr>
              <w:rPr>
                <w:rFonts w:hint="default"/>
                <w:color w:val="auto"/>
                <w:sz w:val="18"/>
                <w:szCs w:val="18"/>
                <w:highlight w:val="none"/>
                <w:lang w:val="en-US" w:eastAsia="zh-CN"/>
              </w:rPr>
            </w:pPr>
            <w:r>
              <w:rPr>
                <w:rFonts w:hint="eastAsia"/>
                <w:color w:val="auto"/>
                <w:sz w:val="18"/>
                <w:szCs w:val="18"/>
                <w:highlight w:val="none"/>
                <w:lang w:val="en-US" w:eastAsia="zh-CN"/>
              </w:rPr>
              <w:t>声道：以原始轨道数记录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tcPr>
          <w:p>
            <w:pPr>
              <w:rPr>
                <w:rFonts w:hint="eastAsia"/>
                <w:color w:val="auto"/>
                <w:sz w:val="18"/>
                <w:szCs w:val="18"/>
                <w:highlight w:val="none"/>
                <w:lang w:val="en-US" w:eastAsia="zh-CN"/>
              </w:rPr>
            </w:pPr>
          </w:p>
        </w:tc>
        <w:tc>
          <w:tcPr>
            <w:tcW w:w="1420" w:type="dxa"/>
          </w:tcPr>
          <w:p>
            <w:pPr>
              <w:rPr>
                <w:rFonts w:hint="default"/>
                <w:color w:val="auto"/>
                <w:sz w:val="18"/>
                <w:szCs w:val="18"/>
                <w:highlight w:val="none"/>
                <w:lang w:val="en-US" w:eastAsia="zh-CN"/>
              </w:rPr>
            </w:pPr>
            <w:r>
              <w:rPr>
                <w:rFonts w:hint="eastAsia"/>
                <w:color w:val="auto"/>
                <w:sz w:val="18"/>
                <w:szCs w:val="18"/>
                <w:highlight w:val="none"/>
                <w:lang w:val="en-US" w:eastAsia="zh-CN"/>
              </w:rPr>
              <w:t>录像</w:t>
            </w:r>
          </w:p>
        </w:tc>
        <w:tc>
          <w:tcPr>
            <w:tcW w:w="5372" w:type="dxa"/>
          </w:tcPr>
          <w:p>
            <w:pPr>
              <w:rPr>
                <w:rFonts w:hint="eastAsia"/>
                <w:color w:val="auto"/>
                <w:sz w:val="18"/>
                <w:szCs w:val="18"/>
                <w:highlight w:val="none"/>
                <w:lang w:val="en-US" w:eastAsia="zh-CN"/>
              </w:rPr>
            </w:pPr>
            <w:r>
              <w:rPr>
                <w:rFonts w:hint="eastAsia"/>
                <w:color w:val="auto"/>
                <w:sz w:val="18"/>
                <w:szCs w:val="18"/>
                <w:highlight w:val="none"/>
                <w:lang w:val="en-US" w:eastAsia="zh-CN"/>
              </w:rPr>
              <w:t>文件格式：AVI或MXF</w:t>
            </w:r>
          </w:p>
          <w:p>
            <w:pPr>
              <w:rPr>
                <w:rFonts w:hint="eastAsia"/>
                <w:color w:val="auto"/>
                <w:sz w:val="18"/>
                <w:szCs w:val="18"/>
                <w:highlight w:val="none"/>
                <w:lang w:val="en-US" w:eastAsia="zh-CN"/>
              </w:rPr>
            </w:pPr>
            <w:r>
              <w:rPr>
                <w:rFonts w:hint="eastAsia"/>
                <w:color w:val="auto"/>
                <w:sz w:val="18"/>
                <w:szCs w:val="18"/>
                <w:highlight w:val="none"/>
                <w:lang w:val="en-US" w:eastAsia="zh-CN"/>
              </w:rPr>
              <w:t>视频编码格式：H.264或MPEG-2 IBP MP@ML</w:t>
            </w:r>
          </w:p>
          <w:p>
            <w:pPr>
              <w:rPr>
                <w:rFonts w:hint="eastAsia"/>
                <w:color w:val="auto"/>
                <w:sz w:val="18"/>
                <w:szCs w:val="18"/>
                <w:highlight w:val="none"/>
                <w:lang w:val="en-US" w:eastAsia="zh-CN"/>
              </w:rPr>
            </w:pPr>
            <w:r>
              <w:rPr>
                <w:rFonts w:hint="eastAsia"/>
                <w:color w:val="auto"/>
                <w:sz w:val="18"/>
                <w:szCs w:val="18"/>
                <w:highlight w:val="none"/>
                <w:lang w:val="en-US" w:eastAsia="zh-CN"/>
              </w:rPr>
              <w:t>视频分辨率：标清为720X576 高清不低于1920X1080</w:t>
            </w:r>
          </w:p>
          <w:p>
            <w:pPr>
              <w:rPr>
                <w:rFonts w:hint="eastAsia"/>
                <w:color w:val="auto"/>
                <w:sz w:val="18"/>
                <w:szCs w:val="18"/>
                <w:highlight w:val="none"/>
                <w:lang w:val="en-US" w:eastAsia="zh-CN"/>
              </w:rPr>
            </w:pPr>
            <w:r>
              <w:rPr>
                <w:rFonts w:hint="eastAsia"/>
                <w:color w:val="auto"/>
                <w:sz w:val="18"/>
                <w:szCs w:val="18"/>
                <w:highlight w:val="none"/>
                <w:lang w:val="en-US" w:eastAsia="zh-CN"/>
              </w:rPr>
              <w:t>视频采样率：4:2:2</w:t>
            </w:r>
          </w:p>
          <w:p>
            <w:pPr>
              <w:rPr>
                <w:rFonts w:hint="eastAsia"/>
                <w:color w:val="auto"/>
                <w:sz w:val="18"/>
                <w:szCs w:val="18"/>
                <w:highlight w:val="none"/>
                <w:lang w:val="en-US" w:eastAsia="zh-CN"/>
              </w:rPr>
            </w:pPr>
            <w:r>
              <w:rPr>
                <w:rFonts w:hint="eastAsia"/>
                <w:color w:val="auto"/>
                <w:sz w:val="18"/>
                <w:szCs w:val="18"/>
                <w:highlight w:val="none"/>
                <w:lang w:val="en-US" w:eastAsia="zh-CN"/>
              </w:rPr>
              <w:t>视频量化位数：不低于8bit</w:t>
            </w:r>
          </w:p>
          <w:p>
            <w:pPr>
              <w:rPr>
                <w:rFonts w:hint="eastAsia"/>
                <w:color w:val="auto"/>
                <w:sz w:val="18"/>
                <w:szCs w:val="18"/>
                <w:highlight w:val="none"/>
                <w:lang w:val="en-US" w:eastAsia="zh-CN"/>
              </w:rPr>
            </w:pPr>
            <w:r>
              <w:rPr>
                <w:rFonts w:hint="eastAsia"/>
                <w:color w:val="auto"/>
                <w:sz w:val="18"/>
                <w:szCs w:val="18"/>
                <w:highlight w:val="none"/>
                <w:lang w:val="en-US" w:eastAsia="zh-CN"/>
              </w:rPr>
              <w:t>视频码率：标清不低于8Mbps，高清不低于16Mbps</w:t>
            </w:r>
          </w:p>
          <w:p>
            <w:pPr>
              <w:rPr>
                <w:rFonts w:hint="eastAsia"/>
                <w:color w:val="auto"/>
                <w:sz w:val="18"/>
                <w:szCs w:val="18"/>
                <w:highlight w:val="none"/>
                <w:lang w:val="en-US" w:eastAsia="zh-CN"/>
              </w:rPr>
            </w:pPr>
            <w:r>
              <w:rPr>
                <w:rFonts w:hint="eastAsia"/>
                <w:color w:val="auto"/>
                <w:sz w:val="18"/>
                <w:szCs w:val="18"/>
                <w:highlight w:val="none"/>
                <w:lang w:val="en-US" w:eastAsia="zh-CN"/>
              </w:rPr>
              <w:t>音频编码格式：PCM</w:t>
            </w:r>
          </w:p>
          <w:p>
            <w:pPr>
              <w:rPr>
                <w:rFonts w:hint="eastAsia"/>
                <w:color w:val="auto"/>
                <w:sz w:val="18"/>
                <w:szCs w:val="18"/>
                <w:highlight w:val="none"/>
                <w:lang w:val="en-US" w:eastAsia="zh-CN"/>
              </w:rPr>
            </w:pPr>
            <w:r>
              <w:rPr>
                <w:rFonts w:hint="eastAsia"/>
                <w:color w:val="auto"/>
                <w:sz w:val="18"/>
                <w:szCs w:val="18"/>
                <w:highlight w:val="none"/>
                <w:lang w:val="en-US" w:eastAsia="zh-CN"/>
              </w:rPr>
              <w:t xml:space="preserve">音频采样率：不低于44.1KHz </w:t>
            </w:r>
          </w:p>
          <w:p>
            <w:pPr>
              <w:rPr>
                <w:rFonts w:hint="eastAsia"/>
                <w:color w:val="auto"/>
                <w:sz w:val="18"/>
                <w:szCs w:val="18"/>
                <w:highlight w:val="none"/>
                <w:lang w:val="en-US" w:eastAsia="zh-CN"/>
              </w:rPr>
            </w:pPr>
            <w:r>
              <w:rPr>
                <w:rFonts w:hint="eastAsia"/>
                <w:color w:val="auto"/>
                <w:sz w:val="18"/>
                <w:szCs w:val="18"/>
                <w:highlight w:val="none"/>
                <w:lang w:val="en-US" w:eastAsia="zh-CN"/>
              </w:rPr>
              <w:t>音频量化位数：24bit</w:t>
            </w:r>
          </w:p>
          <w:p>
            <w:pPr>
              <w:rPr>
                <w:rFonts w:hint="default"/>
                <w:color w:val="auto"/>
                <w:sz w:val="18"/>
                <w:szCs w:val="18"/>
                <w:highlight w:val="none"/>
                <w:lang w:val="en-US" w:eastAsia="zh-CN"/>
              </w:rPr>
            </w:pPr>
            <w:r>
              <w:rPr>
                <w:rFonts w:hint="eastAsia"/>
                <w:color w:val="auto"/>
                <w:sz w:val="18"/>
                <w:szCs w:val="18"/>
                <w:highlight w:val="none"/>
                <w:lang w:val="en-US" w:eastAsia="zh-CN"/>
              </w:rPr>
              <w:t>声道：以原始轨道数记录</w:t>
            </w:r>
          </w:p>
        </w:tc>
      </w:tr>
    </w:tbl>
    <w:p>
      <w:pPr>
        <w:pStyle w:val="231"/>
        <w:ind w:left="0" w:leftChars="0" w:firstLine="0" w:firstLineChars="0"/>
        <w:rPr>
          <w:rFonts w:hint="eastAsia"/>
          <w:color w:val="auto"/>
          <w:highlight w:val="none"/>
        </w:rPr>
      </w:pPr>
    </w:p>
    <w:p>
      <w:pPr>
        <w:jc w:val="center"/>
        <w:rPr>
          <w:color w:val="auto"/>
          <w:highlight w:val="none"/>
        </w:rPr>
      </w:pPr>
    </w:p>
    <w:p>
      <w:pPr>
        <w:rPr>
          <w:color w:val="auto"/>
          <w:highlight w:val="none"/>
        </w:rPr>
      </w:pPr>
      <w:r>
        <w:rPr>
          <w:color w:val="auto"/>
          <w:highlight w:val="none"/>
        </w:rPr>
        <w:br w:type="page"/>
      </w:r>
    </w:p>
    <w:p>
      <w:pPr>
        <w:pStyle w:val="76"/>
        <w:spacing w:after="156"/>
        <w:ind w:left="780" w:hanging="360"/>
        <w:rPr>
          <w:color w:val="auto"/>
          <w:highlight w:val="none"/>
        </w:rPr>
      </w:pPr>
      <w:bookmarkStart w:id="114" w:name="_Toc29658"/>
      <w:bookmarkStart w:id="115" w:name="_Toc4370"/>
      <w:r>
        <w:rPr>
          <w:color w:val="auto"/>
          <w:highlight w:val="none"/>
        </w:rPr>
        <w:br w:type="textWrapping"/>
      </w:r>
      <w:bookmarkStart w:id="116" w:name="_Toc124776477"/>
      <w:r>
        <w:rPr>
          <w:rFonts w:hint="eastAsia"/>
          <w:color w:val="auto"/>
          <w:highlight w:val="none"/>
        </w:rPr>
        <w:t>（</w:t>
      </w:r>
      <w:r>
        <w:rPr>
          <w:rFonts w:hint="eastAsia"/>
          <w:color w:val="auto"/>
          <w:highlight w:val="none"/>
          <w:lang w:val="en-US" w:eastAsia="zh-CN"/>
        </w:rPr>
        <w:t>规范</w:t>
      </w:r>
      <w:r>
        <w:rPr>
          <w:rFonts w:hint="eastAsia"/>
          <w:color w:val="auto"/>
          <w:highlight w:val="none"/>
        </w:rPr>
        <w:t>性）</w:t>
      </w:r>
      <w:r>
        <w:rPr>
          <w:color w:val="auto"/>
          <w:highlight w:val="none"/>
        </w:rPr>
        <w:br w:type="textWrapping"/>
      </w:r>
      <w:bookmarkEnd w:id="116"/>
      <w:r>
        <w:rPr>
          <w:rFonts w:hint="eastAsia"/>
          <w:color w:val="auto"/>
          <w:highlight w:val="none"/>
        </w:rPr>
        <w:t>非同步电子交互审理流程</w:t>
      </w:r>
      <w:bookmarkEnd w:id="114"/>
      <w:bookmarkEnd w:id="115"/>
    </w:p>
    <w:p>
      <w:pPr>
        <w:pStyle w:val="56"/>
        <w:ind w:firstLine="420"/>
        <w:rPr>
          <w:rFonts w:hint="eastAsia"/>
          <w:color w:val="auto"/>
          <w:highlight w:val="none"/>
          <w:lang w:val="en-US" w:eastAsia="zh-CN"/>
        </w:rPr>
      </w:pPr>
      <w:r>
        <w:rPr>
          <w:rFonts w:hint="eastAsia"/>
          <w:color w:val="auto"/>
          <w:highlight w:val="none"/>
        </w:rPr>
        <w:t>表B.1为非同步电子交互审理流程，</w:t>
      </w:r>
      <w:r>
        <w:rPr>
          <w:rFonts w:hint="eastAsia"/>
          <w:color w:val="auto"/>
          <w:highlight w:val="none"/>
          <w:lang w:val="en-US" w:eastAsia="zh-CN"/>
        </w:rPr>
        <w:t>非同步电子交互庭审请按此流程进行。</w:t>
      </w:r>
    </w:p>
    <w:p>
      <w:pPr>
        <w:pStyle w:val="77"/>
        <w:numPr>
          <w:ilvl w:val="1"/>
          <w:numId w:val="0"/>
        </w:numPr>
        <w:spacing w:before="156" w:after="156"/>
        <w:ind w:leftChars="0"/>
        <w:jc w:val="center"/>
        <w:rPr>
          <w:rFonts w:hint="eastAsia"/>
          <w:color w:val="auto"/>
          <w:highlight w:val="none"/>
        </w:rPr>
      </w:pPr>
      <w:r>
        <w:rPr>
          <w:rFonts w:hint="eastAsia"/>
          <w:color w:val="auto"/>
          <w:highlight w:val="none"/>
        </w:rPr>
        <w:t>表B.1非同步电子交互审理流程</w:t>
      </w:r>
    </w:p>
    <w:tbl>
      <w:tblPr>
        <w:tblStyle w:val="27"/>
        <w:tblpPr w:leftFromText="180" w:rightFromText="180" w:vertAnchor="text" w:horzAnchor="page" w:tblpX="1864" w:tblpY="56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9"/>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89"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18"/>
                <w:szCs w:val="18"/>
                <w:highlight w:val="none"/>
                <w:vertAlign w:val="baseline"/>
                <w:lang w:val="en-US" w:eastAsia="zh-CN"/>
              </w:rPr>
            </w:pPr>
            <w:r>
              <w:rPr>
                <w:rFonts w:hint="eastAsia" w:ascii="宋体" w:hAnsi="宋体" w:eastAsia="宋体" w:cs="宋体"/>
                <w:b/>
                <w:bCs/>
                <w:color w:val="auto"/>
                <w:sz w:val="18"/>
                <w:szCs w:val="18"/>
                <w:highlight w:val="none"/>
                <w:vertAlign w:val="baseline"/>
                <w:lang w:val="en-US" w:eastAsia="zh-CN"/>
              </w:rPr>
              <w:t>项目</w:t>
            </w:r>
          </w:p>
        </w:tc>
        <w:tc>
          <w:tcPr>
            <w:tcW w:w="673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18"/>
                <w:szCs w:val="18"/>
                <w:highlight w:val="none"/>
                <w:vertAlign w:val="baseline"/>
                <w:lang w:val="en-US" w:eastAsia="zh-CN"/>
              </w:rPr>
            </w:pPr>
            <w:r>
              <w:rPr>
                <w:rFonts w:hint="eastAsia" w:ascii="宋体" w:hAnsi="宋体" w:eastAsia="宋体" w:cs="宋体"/>
                <w:b/>
                <w:bCs/>
                <w:color w:val="auto"/>
                <w:sz w:val="18"/>
                <w:szCs w:val="18"/>
                <w:highlight w:val="none"/>
                <w:vertAlign w:val="baseline"/>
                <w:lang w:val="en-US" w:eastAsia="zh-CN"/>
              </w:rPr>
              <w:t>具体流程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9"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1.举证质证</w:t>
            </w:r>
          </w:p>
        </w:tc>
        <w:tc>
          <w:tcPr>
            <w:tcW w:w="6733" w:type="dxa"/>
          </w:tcPr>
          <w:p>
            <w:pPr>
              <w:rPr>
                <w:rFonts w:hint="eastAsia"/>
                <w:color w:val="auto"/>
                <w:sz w:val="18"/>
                <w:szCs w:val="18"/>
                <w:highlight w:val="none"/>
                <w:lang w:val="en-US" w:eastAsia="zh-CN"/>
              </w:rPr>
            </w:pPr>
            <w:r>
              <w:rPr>
                <w:rFonts w:hint="eastAsia"/>
                <w:color w:val="auto"/>
                <w:sz w:val="18"/>
                <w:szCs w:val="18"/>
                <w:highlight w:val="none"/>
                <w:lang w:val="en-US" w:eastAsia="zh-CN"/>
              </w:rPr>
              <w:t>举证质证流程由仲裁秘书负责推进，并及时与仲裁庭沟通反馈。</w:t>
            </w:r>
          </w:p>
          <w:p>
            <w:pPr>
              <w:rPr>
                <w:rFonts w:hint="eastAsia"/>
                <w:color w:val="auto"/>
                <w:sz w:val="18"/>
                <w:szCs w:val="18"/>
                <w:highlight w:val="none"/>
                <w:lang w:val="en-US" w:eastAsia="zh-CN"/>
              </w:rPr>
            </w:pPr>
            <w:r>
              <w:rPr>
                <w:rFonts w:hint="eastAsia"/>
                <w:color w:val="auto"/>
                <w:sz w:val="18"/>
                <w:szCs w:val="18"/>
                <w:highlight w:val="none"/>
                <w:lang w:val="en-US" w:eastAsia="zh-CN"/>
              </w:rPr>
              <w:t>（1）仲裁秘书在发送组庭通知时，同步通知双方当事人提交证据材料。当事人应当在仲裁规则规定的期限内或仲裁协议约定的期限内提交证据材料。逾期提交的，是否接受由仲裁庭决定。</w:t>
            </w:r>
          </w:p>
          <w:p>
            <w:pPr>
              <w:rPr>
                <w:rFonts w:hint="eastAsia"/>
                <w:color w:val="auto"/>
                <w:sz w:val="18"/>
                <w:szCs w:val="18"/>
                <w:highlight w:val="none"/>
                <w:lang w:val="en-US" w:eastAsia="zh-CN"/>
              </w:rPr>
            </w:pPr>
            <w:r>
              <w:rPr>
                <w:rFonts w:hint="eastAsia"/>
                <w:color w:val="auto"/>
                <w:sz w:val="18"/>
                <w:szCs w:val="18"/>
                <w:highlight w:val="none"/>
                <w:lang w:val="en-US" w:eastAsia="zh-CN"/>
              </w:rPr>
              <w:t>（2）证据提交方式包括通过云平台提交、邮箱提交、邮寄提交、直接提交等方式。通过云平台及邮箱提交的，以平台系统或邮箱系统显示的时间为证据提交时间；通过邮寄方式提交的，以邮戳显示的时间为证据提交时间；直接提交的以实际提交时间为证据提交时间。</w:t>
            </w:r>
          </w:p>
          <w:p>
            <w:pPr>
              <w:rPr>
                <w:rFonts w:hint="eastAsia"/>
                <w:color w:val="auto"/>
                <w:sz w:val="18"/>
                <w:szCs w:val="18"/>
                <w:highlight w:val="none"/>
                <w:lang w:val="en-US" w:eastAsia="zh-CN"/>
              </w:rPr>
            </w:pPr>
            <w:r>
              <w:rPr>
                <w:rFonts w:hint="eastAsia"/>
                <w:color w:val="auto"/>
                <w:sz w:val="18"/>
                <w:szCs w:val="18"/>
                <w:highlight w:val="none"/>
                <w:lang w:val="en-US" w:eastAsia="zh-CN"/>
              </w:rPr>
              <w:t>（3）一般情况下，由仲裁秘书组织在线证据交换，举证时，当事人应当通过云平台当事人端提交在线电子数据，或者将线下证据通过扫描、翻拍、转录等方式进行电子化处理后上传至云平台进行举证。</w:t>
            </w:r>
          </w:p>
          <w:p>
            <w:pPr>
              <w:rPr>
                <w:rFonts w:hint="eastAsia"/>
                <w:color w:val="auto"/>
                <w:sz w:val="18"/>
                <w:szCs w:val="18"/>
                <w:highlight w:val="none"/>
                <w:lang w:val="en-US" w:eastAsia="zh-CN"/>
              </w:rPr>
            </w:pPr>
            <w:r>
              <w:rPr>
                <w:rFonts w:hint="eastAsia"/>
                <w:color w:val="auto"/>
                <w:sz w:val="18"/>
                <w:szCs w:val="18"/>
                <w:highlight w:val="none"/>
                <w:lang w:val="en-US" w:eastAsia="zh-CN"/>
              </w:rPr>
              <w:t>（4）当事人通过以下方式举证的，由仲裁秘书将证据材料电子化处理后上传至云平台：①当事人通过仲裁协议约定的电子邮箱提交电子化处理的线下证据材料，此方式提交证据材料应由仲裁秘书电话调查核实、全程录音、保存归档。②当事人通过邮寄、现场方式提交证据材料，此方式提交证据材料应有当事人签字（按手印）或盖章，采用邮寄方式提交的。秘书还需与当事人进行电话核实、录音保存。</w:t>
            </w:r>
          </w:p>
          <w:p>
            <w:pPr>
              <w:rPr>
                <w:rFonts w:hint="eastAsia"/>
                <w:color w:val="auto"/>
                <w:sz w:val="18"/>
                <w:szCs w:val="18"/>
                <w:highlight w:val="none"/>
                <w:lang w:val="en-US" w:eastAsia="zh-CN"/>
              </w:rPr>
            </w:pPr>
            <w:r>
              <w:rPr>
                <w:rFonts w:hint="eastAsia"/>
                <w:color w:val="auto"/>
                <w:sz w:val="18"/>
                <w:szCs w:val="18"/>
                <w:highlight w:val="none"/>
                <w:lang w:val="en-US" w:eastAsia="zh-CN"/>
              </w:rPr>
              <w:t>（5）仲裁秘书在收到一方当事人提交证据材料之时起48小时内向另一方当事人发送质证通知及证据材料。当事人应当在仲裁规则规定的期限内或仲裁协议约定的期限内进行书面质证。</w:t>
            </w:r>
          </w:p>
          <w:p>
            <w:pPr>
              <w:rPr>
                <w:rFonts w:hint="eastAsia"/>
                <w:color w:val="auto"/>
                <w:sz w:val="18"/>
                <w:szCs w:val="18"/>
                <w:highlight w:val="none"/>
                <w:lang w:val="en-US" w:eastAsia="zh-CN"/>
              </w:rPr>
            </w:pPr>
            <w:r>
              <w:rPr>
                <w:rFonts w:hint="eastAsia"/>
                <w:color w:val="auto"/>
                <w:sz w:val="18"/>
                <w:szCs w:val="18"/>
                <w:highlight w:val="none"/>
                <w:lang w:val="en-US" w:eastAsia="zh-CN"/>
              </w:rPr>
              <w:t>（6）质证的形式包括：通过云平台当事人端提交质证意见；通过网上仲裁协议或仲裁条款约定的电子邮箱提交质证意见；通过邮寄、现场方式提交质证意见。通过后两种方式质证的，由仲裁秘书按照第（4）项流程电子化处理后上传至云平台。</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（7）仲裁秘书收集接收双方当事人提交的证据材料和质证意见时，应同步将情况反馈给仲裁庭。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9" w:type="dxa"/>
          </w:tcPr>
          <w:p>
            <w:pPr>
              <w:rPr>
                <w:rFonts w:hint="eastAsia"/>
                <w:color w:val="auto"/>
                <w:sz w:val="18"/>
                <w:szCs w:val="18"/>
                <w:highlight w:val="none"/>
                <w:lang w:val="en-US" w:eastAsia="zh-CN"/>
              </w:rPr>
            </w:pPr>
            <w:r>
              <w:rPr>
                <w:rFonts w:hint="eastAsia"/>
                <w:color w:val="auto"/>
                <w:sz w:val="18"/>
                <w:szCs w:val="18"/>
                <w:highlight w:val="none"/>
                <w:lang w:val="en-US" w:eastAsia="zh-CN"/>
              </w:rPr>
              <w:t>2.仲裁庭调查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p>
        </w:tc>
        <w:tc>
          <w:tcPr>
            <w:tcW w:w="6733" w:type="dxa"/>
          </w:tcPr>
          <w:p>
            <w:pPr>
              <w:rPr>
                <w:rFonts w:hint="eastAsia"/>
                <w:color w:val="auto"/>
                <w:sz w:val="18"/>
                <w:szCs w:val="18"/>
                <w:highlight w:val="none"/>
                <w:lang w:val="en-US" w:eastAsia="zh-CN"/>
              </w:rPr>
            </w:pPr>
            <w:r>
              <w:rPr>
                <w:rFonts w:hint="eastAsia"/>
                <w:color w:val="auto"/>
                <w:sz w:val="18"/>
                <w:szCs w:val="18"/>
                <w:highlight w:val="none"/>
                <w:lang w:val="en-US" w:eastAsia="zh-CN"/>
              </w:rPr>
              <w:t>（1）仲裁庭对双方当事人提交的证据材料真实性、合法性、关联性进行审查认定，当事人对电子数据真实性提出异议的，仲裁庭按照仲裁规则进行审查认定。</w:t>
            </w:r>
          </w:p>
          <w:p>
            <w:pPr>
              <w:rPr>
                <w:rFonts w:hint="eastAsia"/>
                <w:color w:val="auto"/>
                <w:sz w:val="18"/>
                <w:szCs w:val="18"/>
                <w:highlight w:val="none"/>
                <w:lang w:val="en-US" w:eastAsia="zh-CN"/>
              </w:rPr>
            </w:pPr>
            <w:r>
              <w:rPr>
                <w:rFonts w:hint="eastAsia"/>
                <w:color w:val="auto"/>
                <w:sz w:val="18"/>
                <w:szCs w:val="18"/>
                <w:highlight w:val="none"/>
                <w:lang w:val="en-US" w:eastAsia="zh-CN"/>
              </w:rPr>
              <w:t>（2）仲裁庭可以通知当事人提交补充书面意见，提交形式同答辩书、质证意见等。具体通知事宜由仲裁秘书操作。</w:t>
            </w:r>
          </w:p>
          <w:p>
            <w:pPr>
              <w:rPr>
                <w:rFonts w:hint="eastAsia"/>
                <w:color w:val="auto"/>
                <w:sz w:val="18"/>
                <w:szCs w:val="18"/>
                <w:highlight w:val="none"/>
                <w:lang w:val="en-US" w:eastAsia="zh-CN"/>
              </w:rPr>
            </w:pPr>
            <w:r>
              <w:rPr>
                <w:rFonts w:hint="eastAsia"/>
                <w:color w:val="auto"/>
                <w:sz w:val="18"/>
                <w:szCs w:val="18"/>
                <w:highlight w:val="none"/>
                <w:lang w:val="en-US" w:eastAsia="zh-CN"/>
              </w:rPr>
              <w:t>（3）仲裁庭在书面审理过程中可以通过书面调查函、电话调查、现场调查、视频调查等方式对发现的问题进行调查，询问双方当事人。书面调查函由仲裁庭拟定，一般应通过云平台向当事人发送。无法通过武仲云平台发送的，邮箱发送至当事人约定的电子邮箱，或者邮寄送达。后两种方式请付料应经过电子化处理后由仲裁秘书上传至云平台。电话调查应联系当事人约定的或实名认证的电话号码，由仲裁员或委托仲裁秘书主持，并核实身份、同步进行录音、保存归档。上述调查材料经电子化处理后由仲裁秘书上传至云平台。现场调查或视频调查由仲裁员主持或委托仲裁秘书主持，应核实身份、签名、同步录屏、保存归档。上述调查材料经电子化处理后由仲裁秘书上传至云平台。</w:t>
            </w:r>
          </w:p>
          <w:p>
            <w:pPr>
              <w:rPr>
                <w:rFonts w:hint="eastAsia"/>
                <w:color w:val="auto"/>
                <w:sz w:val="18"/>
                <w:szCs w:val="18"/>
                <w:highlight w:val="none"/>
                <w:lang w:val="en-US" w:eastAsia="zh-CN"/>
              </w:rPr>
            </w:pPr>
            <w:r>
              <w:rPr>
                <w:rFonts w:hint="eastAsia"/>
                <w:color w:val="auto"/>
                <w:sz w:val="18"/>
                <w:szCs w:val="18"/>
                <w:highlight w:val="none"/>
                <w:lang w:val="en-US" w:eastAsia="zh-CN"/>
              </w:rPr>
              <w:t>（4）仲裁庭经调查后，认为当事人需要补充证据材料的按照举证质证流程进行，但应充分考虑必要性。</w:t>
            </w:r>
          </w:p>
          <w:p>
            <w:pPr>
              <w:rPr>
                <w:rFonts w:hint="default"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（5）仲裁庭经调查后，发现案件较为复杂的，可以转为线下审理。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9"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3.辩论与最后陈述</w:t>
            </w:r>
          </w:p>
        </w:tc>
        <w:tc>
          <w:tcPr>
            <w:tcW w:w="6733" w:type="dxa"/>
          </w:tcPr>
          <w:p>
            <w:pPr>
              <w:rPr>
                <w:rFonts w:hint="eastAsia"/>
                <w:color w:val="auto"/>
                <w:sz w:val="18"/>
                <w:szCs w:val="18"/>
                <w:highlight w:val="none"/>
                <w:lang w:val="en-US" w:eastAsia="zh-CN"/>
              </w:rPr>
            </w:pPr>
            <w:r>
              <w:rPr>
                <w:rFonts w:hint="eastAsia"/>
                <w:color w:val="auto"/>
                <w:sz w:val="18"/>
                <w:szCs w:val="18"/>
                <w:highlight w:val="none"/>
                <w:lang w:val="en-US" w:eastAsia="zh-CN"/>
              </w:rPr>
              <w:t>仲裁庭向双方当事人发送辩论通知、最后陈述通知，由仲裁秘书组织当事人在收到仲裁庭发出的辩论通知后48小时内不分先后发表辩论意见、组织当事人在收到仲裁庭发出的陈述通知后24小时内进行最后陈述。辩论和最后陈述的形式可以线上或线下，具体操作同答辩等。</w:t>
            </w:r>
          </w:p>
        </w:tc>
      </w:tr>
    </w:tbl>
    <w:p>
      <w:pPr>
        <w:rPr>
          <w:color w:val="auto"/>
          <w:highlight w:val="none"/>
        </w:rPr>
      </w:pPr>
      <w:r>
        <w:rPr>
          <w:color w:val="auto"/>
          <w:highlight w:val="none"/>
        </w:rPr>
        <w:br w:type="page"/>
      </w:r>
    </w:p>
    <w:p>
      <w:pPr>
        <w:pStyle w:val="76"/>
        <w:spacing w:after="156"/>
        <w:ind w:left="780" w:hanging="360"/>
        <w:rPr>
          <w:color w:val="auto"/>
          <w:highlight w:val="none"/>
        </w:rPr>
      </w:pPr>
      <w:bookmarkStart w:id="117" w:name="_Toc29693"/>
      <w:bookmarkStart w:id="118" w:name="_Toc10675"/>
      <w:r>
        <w:rPr>
          <w:color w:val="auto"/>
          <w:highlight w:val="none"/>
        </w:rPr>
        <w:br w:type="textWrapping"/>
      </w:r>
      <w:r>
        <w:rPr>
          <w:rFonts w:hint="eastAsia"/>
          <w:color w:val="auto"/>
          <w:highlight w:val="none"/>
        </w:rPr>
        <w:t>（</w:t>
      </w:r>
      <w:r>
        <w:rPr>
          <w:rFonts w:hint="eastAsia"/>
          <w:color w:val="auto"/>
          <w:highlight w:val="none"/>
          <w:lang w:val="en-US" w:eastAsia="zh-CN"/>
        </w:rPr>
        <w:t>规范</w:t>
      </w:r>
      <w:r>
        <w:rPr>
          <w:rFonts w:hint="eastAsia"/>
          <w:color w:val="auto"/>
          <w:highlight w:val="none"/>
        </w:rPr>
        <w:t>性）</w:t>
      </w:r>
      <w:r>
        <w:rPr>
          <w:color w:val="auto"/>
          <w:highlight w:val="none"/>
        </w:rPr>
        <w:br w:type="textWrapping"/>
      </w:r>
      <w:r>
        <w:rPr>
          <w:rFonts w:hint="eastAsia"/>
          <w:color w:val="auto"/>
          <w:highlight w:val="none"/>
        </w:rPr>
        <w:t>同步</w:t>
      </w:r>
      <w:r>
        <w:rPr>
          <w:rFonts w:hint="eastAsia"/>
          <w:color w:val="auto"/>
          <w:highlight w:val="none"/>
          <w:lang w:val="en-US" w:eastAsia="zh-CN"/>
        </w:rPr>
        <w:t>视频</w:t>
      </w:r>
      <w:r>
        <w:rPr>
          <w:rFonts w:hint="eastAsia"/>
          <w:color w:val="auto"/>
          <w:highlight w:val="none"/>
        </w:rPr>
        <w:t>审理流程</w:t>
      </w:r>
      <w:bookmarkEnd w:id="117"/>
      <w:bookmarkEnd w:id="118"/>
    </w:p>
    <w:p>
      <w:pPr>
        <w:pStyle w:val="56"/>
        <w:ind w:firstLine="420"/>
        <w:rPr>
          <w:rFonts w:hint="eastAsia"/>
          <w:color w:val="auto"/>
          <w:highlight w:val="none"/>
          <w:lang w:val="en-US" w:eastAsia="zh-CN"/>
        </w:rPr>
      </w:pPr>
      <w:r>
        <w:rPr>
          <w:rFonts w:hint="eastAsia"/>
          <w:color w:val="auto"/>
          <w:highlight w:val="none"/>
        </w:rPr>
        <w:t>表</w:t>
      </w:r>
      <w:r>
        <w:rPr>
          <w:rFonts w:hint="eastAsia"/>
          <w:color w:val="auto"/>
          <w:highlight w:val="none"/>
          <w:lang w:val="en-US" w:eastAsia="zh-CN"/>
        </w:rPr>
        <w:t>C</w:t>
      </w:r>
      <w:r>
        <w:rPr>
          <w:rFonts w:hint="eastAsia"/>
          <w:color w:val="auto"/>
          <w:highlight w:val="none"/>
        </w:rPr>
        <w:t>.1为同步</w:t>
      </w:r>
      <w:r>
        <w:rPr>
          <w:rFonts w:hint="eastAsia"/>
          <w:color w:val="auto"/>
          <w:highlight w:val="none"/>
          <w:lang w:val="en-US" w:eastAsia="zh-CN"/>
        </w:rPr>
        <w:t>视频</w:t>
      </w:r>
      <w:r>
        <w:rPr>
          <w:rFonts w:hint="eastAsia"/>
          <w:color w:val="auto"/>
          <w:highlight w:val="none"/>
        </w:rPr>
        <w:t>审理流程，</w:t>
      </w:r>
      <w:r>
        <w:rPr>
          <w:rFonts w:hint="eastAsia"/>
          <w:color w:val="auto"/>
          <w:highlight w:val="none"/>
          <w:lang w:val="en-US" w:eastAsia="zh-CN"/>
        </w:rPr>
        <w:t>同步视频庭审请按此流程进行。</w:t>
      </w:r>
    </w:p>
    <w:p>
      <w:pPr>
        <w:pStyle w:val="77"/>
        <w:numPr>
          <w:ilvl w:val="1"/>
          <w:numId w:val="0"/>
        </w:numPr>
        <w:spacing w:before="156" w:after="156"/>
        <w:ind w:leftChars="0"/>
        <w:jc w:val="center"/>
        <w:rPr>
          <w:rFonts w:hint="eastAsia"/>
          <w:color w:val="auto"/>
          <w:highlight w:val="none"/>
        </w:rPr>
      </w:pPr>
      <w:r>
        <w:rPr>
          <w:rFonts w:hint="eastAsia"/>
          <w:color w:val="auto"/>
          <w:highlight w:val="none"/>
        </w:rPr>
        <w:t>表</w:t>
      </w:r>
      <w:r>
        <w:rPr>
          <w:rFonts w:hint="eastAsia"/>
          <w:color w:val="auto"/>
          <w:highlight w:val="none"/>
          <w:lang w:val="en-US" w:eastAsia="zh-CN"/>
        </w:rPr>
        <w:t>C</w:t>
      </w:r>
      <w:r>
        <w:rPr>
          <w:rFonts w:hint="eastAsia"/>
          <w:color w:val="auto"/>
          <w:highlight w:val="none"/>
        </w:rPr>
        <w:t>.1</w:t>
      </w:r>
      <w:r>
        <w:rPr>
          <w:rFonts w:hint="eastAsia"/>
          <w:color w:val="auto"/>
          <w:highlight w:val="none"/>
          <w:lang w:val="en-US" w:eastAsia="zh-CN"/>
        </w:rPr>
        <w:t>同步视频</w:t>
      </w:r>
      <w:r>
        <w:rPr>
          <w:rFonts w:hint="eastAsia"/>
          <w:color w:val="auto"/>
          <w:highlight w:val="none"/>
        </w:rPr>
        <w:t>审理流程</w:t>
      </w:r>
    </w:p>
    <w:tbl>
      <w:tblPr>
        <w:tblStyle w:val="27"/>
        <w:tblpPr w:leftFromText="180" w:rightFromText="180" w:vertAnchor="text" w:horzAnchor="page" w:tblpX="1810" w:tblpY="44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9"/>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89"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18"/>
                <w:szCs w:val="18"/>
                <w:highlight w:val="none"/>
                <w:vertAlign w:val="baseline"/>
                <w:lang w:val="en-US" w:eastAsia="zh-CN"/>
              </w:rPr>
            </w:pPr>
            <w:r>
              <w:rPr>
                <w:rFonts w:hint="eastAsia" w:ascii="宋体" w:hAnsi="宋体" w:eastAsia="宋体" w:cs="宋体"/>
                <w:b/>
                <w:bCs/>
                <w:color w:val="auto"/>
                <w:sz w:val="18"/>
                <w:szCs w:val="18"/>
                <w:highlight w:val="none"/>
                <w:vertAlign w:val="baseline"/>
                <w:lang w:val="en-US" w:eastAsia="zh-CN"/>
              </w:rPr>
              <w:t>项目</w:t>
            </w:r>
          </w:p>
        </w:tc>
        <w:tc>
          <w:tcPr>
            <w:tcW w:w="6733"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18"/>
                <w:szCs w:val="18"/>
                <w:highlight w:val="none"/>
                <w:vertAlign w:val="baseline"/>
                <w:lang w:val="en-US" w:eastAsia="zh-CN"/>
              </w:rPr>
            </w:pPr>
            <w:r>
              <w:rPr>
                <w:rFonts w:hint="eastAsia" w:ascii="宋体" w:hAnsi="宋体" w:eastAsia="宋体" w:cs="宋体"/>
                <w:b/>
                <w:bCs/>
                <w:color w:val="auto"/>
                <w:sz w:val="18"/>
                <w:szCs w:val="18"/>
                <w:highlight w:val="none"/>
                <w:vertAlign w:val="baseline"/>
                <w:lang w:val="en-US" w:eastAsia="zh-CN"/>
              </w:rPr>
              <w:t>具体流程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9"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1.通知开庭</w:t>
            </w:r>
          </w:p>
        </w:tc>
        <w:tc>
          <w:tcPr>
            <w:tcW w:w="6733" w:type="dxa"/>
          </w:tcPr>
          <w:p>
            <w:pPr>
              <w:rPr>
                <w:rFonts w:hint="eastAsia"/>
                <w:color w:val="auto"/>
                <w:sz w:val="18"/>
                <w:szCs w:val="18"/>
                <w:highlight w:val="none"/>
                <w:lang w:val="en-US" w:eastAsia="zh-CN"/>
              </w:rPr>
            </w:pPr>
            <w:r>
              <w:rPr>
                <w:rFonts w:hint="eastAsia"/>
                <w:color w:val="auto"/>
                <w:sz w:val="18"/>
                <w:szCs w:val="18"/>
                <w:highlight w:val="none"/>
                <w:lang w:val="en-US" w:eastAsia="zh-CN"/>
              </w:rPr>
              <w:t>（1）仲裁秘书与仲裁员、双方当事人确定视频开庭时间及平台，待开庭时间确定后，向当事人发书面开庭通知。</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（2）除仲裁协议另有约定外，仲裁秘书应当在开庭前3日内将开庭时间、登录方式、平台等一并书面通知到双方当事人。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9"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2.庭前准备</w:t>
            </w:r>
          </w:p>
        </w:tc>
        <w:tc>
          <w:tcPr>
            <w:tcW w:w="6733" w:type="dxa"/>
          </w:tcPr>
          <w:p>
            <w:pPr>
              <w:rPr>
                <w:rFonts w:hint="eastAsia"/>
                <w:color w:val="auto"/>
                <w:sz w:val="18"/>
                <w:szCs w:val="18"/>
                <w:highlight w:val="none"/>
                <w:lang w:val="en-US" w:eastAsia="zh-CN"/>
              </w:rPr>
            </w:pPr>
            <w:r>
              <w:rPr>
                <w:rFonts w:hint="eastAsia"/>
                <w:color w:val="auto"/>
                <w:sz w:val="18"/>
                <w:szCs w:val="18"/>
                <w:highlight w:val="none"/>
                <w:lang w:val="en-US" w:eastAsia="zh-CN"/>
              </w:rPr>
              <w:t>（1）证据交换程序同非同步电子交互审理，由仲裁秘书组织推进。仲裁庭可以要求当事人提交书面质证意见，具体流程同附录B 非同步电子交互审理审理流程中的质证环节。</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（2）通知当事人、仲裁员视频庭审注意事项，调试设备、网络，确保视频庭审顺利进行。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9"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3.开庭审理</w:t>
            </w:r>
          </w:p>
        </w:tc>
        <w:tc>
          <w:tcPr>
            <w:tcW w:w="6733" w:type="dxa"/>
          </w:tcPr>
          <w:p>
            <w:pPr>
              <w:rPr>
                <w:rFonts w:hint="eastAsia"/>
                <w:color w:val="auto"/>
                <w:sz w:val="18"/>
                <w:szCs w:val="18"/>
                <w:highlight w:val="none"/>
                <w:lang w:val="en-US" w:eastAsia="zh-CN"/>
              </w:rPr>
            </w:pPr>
            <w:r>
              <w:rPr>
                <w:rFonts w:hint="eastAsia"/>
                <w:color w:val="auto"/>
                <w:sz w:val="18"/>
                <w:szCs w:val="18"/>
                <w:highlight w:val="none"/>
                <w:lang w:val="en-US" w:eastAsia="zh-CN"/>
              </w:rPr>
              <w:t>（1）在线视频庭审的，仲裁庭参照线下开庭程序推进庭审，仲裁秘书在线同步做好庭审笔录。</w:t>
            </w:r>
          </w:p>
          <w:p>
            <w:pPr>
              <w:rPr>
                <w:rFonts w:hint="eastAsia"/>
                <w:color w:val="auto"/>
                <w:sz w:val="18"/>
                <w:szCs w:val="18"/>
                <w:highlight w:val="none"/>
                <w:lang w:val="en-US" w:eastAsia="zh-CN"/>
              </w:rPr>
            </w:pPr>
            <w:r>
              <w:rPr>
                <w:rFonts w:hint="eastAsia"/>
                <w:color w:val="auto"/>
                <w:sz w:val="18"/>
                <w:szCs w:val="18"/>
                <w:highlight w:val="none"/>
                <w:lang w:val="en-US" w:eastAsia="zh-CN"/>
              </w:rPr>
              <w:t>（2）庭审结束后，由庭审参与各方在线核对笔录，核对无误后在云平台进行电子签名确认。</w:t>
            </w:r>
          </w:p>
          <w:p>
            <w:pPr>
              <w:rPr>
                <w:rFonts w:hint="eastAsia" w:ascii="宋体" w:hAnsi="宋体" w:eastAsia="宋体" w:cs="宋体"/>
                <w:color w:val="auto"/>
                <w:sz w:val="18"/>
                <w:szCs w:val="18"/>
                <w:highlight w:val="none"/>
                <w:vertAlign w:val="baseline"/>
                <w:lang w:val="en-US" w:eastAsia="zh-CN"/>
              </w:rPr>
            </w:pPr>
            <w:r>
              <w:rPr>
                <w:rFonts w:hint="eastAsia"/>
                <w:color w:val="auto"/>
                <w:sz w:val="18"/>
                <w:szCs w:val="18"/>
                <w:highlight w:val="none"/>
                <w:lang w:val="en-US" w:eastAsia="zh-CN"/>
              </w:rPr>
              <w:t>（3）如果存在确需当庭查明身份、核对原件、查验实物、申请证人出庭等特殊情形的，仲裁庭可以决定在线下开庭，但其他环节仍应当在线完成；也可以决定转线下审理，转线下审理的，当事人需要通过邮寄或直接提交的方式提交亲自签名的纸质申请，秘书需及时下发缴费通知书，通知当事人在收到通知书的10日内缴纳转线下仲裁费，缴费后按照线下案件的审理流程办理，不再适用本规程。</w:t>
            </w:r>
          </w:p>
        </w:tc>
      </w:tr>
    </w:tbl>
    <w:p>
      <w:pPr>
        <w:pStyle w:val="56"/>
        <w:rPr>
          <w:rFonts w:hint="eastAsia"/>
          <w:color w:val="auto"/>
          <w:highlight w:val="none"/>
        </w:rPr>
      </w:pPr>
    </w:p>
    <w:p>
      <w:pPr>
        <w:jc w:val="center"/>
        <w:rPr>
          <w:color w:val="auto"/>
          <w:highlight w:val="none"/>
        </w:rPr>
      </w:pPr>
    </w:p>
    <w:p>
      <w:pPr>
        <w:pStyle w:val="56"/>
        <w:ind w:firstLine="0" w:firstLineChars="0"/>
        <w:jc w:val="center"/>
        <w:rPr>
          <w:color w:val="auto"/>
          <w:lang w:bidi="ar"/>
        </w:rPr>
      </w:pPr>
    </w:p>
    <w:sectPr>
      <w:pgSz w:w="11906" w:h="16838"/>
      <w:pgMar w:top="1928" w:right="1134" w:bottom="1134" w:left="934" w:header="1418" w:footer="1134" w:gutter="284"/>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fldChar w:fldCharType="begin"/>
    </w:r>
    <w:r>
      <w:instrText xml:space="preserve">PAGE   \* MERGEFORMAT</w:instrText>
    </w:r>
    <w:r>
      <w:fldChar w:fldCharType="separate"/>
    </w:r>
    <w:r>
      <w:rPr>
        <w:lang w:val="zh-CN"/>
      </w:rPr>
      <w:t>II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I</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4201/T XXX—2024</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left"/>
      <w:rPr>
        <w:rFonts w:ascii="黑体" w:hAnsi="黑体" w:eastAsia="黑体"/>
        <w:sz w:val="21"/>
        <w:szCs w:val="21"/>
        <w:lang w:val="fr-FR"/>
      </w:rPr>
    </w:pPr>
    <w:r>
      <w:rPr>
        <w:rFonts w:ascii="黑体" w:hAnsi="黑体" w:eastAsia="黑体"/>
        <w:sz w:val="21"/>
        <w:szCs w:val="21"/>
      </w:rPr>
      <w:fldChar w:fldCharType="begin"/>
    </w:r>
    <w:r>
      <w:rPr>
        <w:rFonts w:ascii="黑体" w:hAnsi="黑体" w:eastAsia="黑体"/>
        <w:sz w:val="21"/>
        <w:szCs w:val="21"/>
        <w:lang w:val="fr-FR"/>
      </w:rPr>
      <w:instrText xml:space="preserve"> STYLEREF  </w:instrText>
    </w:r>
    <w:r>
      <w:rPr>
        <w:rFonts w:ascii="黑体" w:hAnsi="黑体" w:eastAsia="黑体"/>
        <w:sz w:val="21"/>
        <w:szCs w:val="21"/>
      </w:rPr>
      <w:instrText xml:space="preserve">标准文件</w:instrText>
    </w:r>
    <w:r>
      <w:rPr>
        <w:rFonts w:ascii="黑体" w:hAnsi="黑体" w:eastAsia="黑体"/>
        <w:sz w:val="21"/>
        <w:szCs w:val="21"/>
        <w:lang w:val="fr-FR"/>
      </w:rPr>
      <w:instrText xml:space="preserve">_</w:instrText>
    </w:r>
    <w:r>
      <w:rPr>
        <w:rFonts w:ascii="黑体" w:hAnsi="黑体" w:eastAsia="黑体"/>
        <w:sz w:val="21"/>
        <w:szCs w:val="21"/>
      </w:rPr>
      <w:instrText xml:space="preserve">文件编号</w:instrText>
    </w:r>
    <w:r>
      <w:rPr>
        <w:rFonts w:ascii="黑体" w:hAnsi="黑体" w:eastAsia="黑体"/>
        <w:sz w:val="21"/>
        <w:szCs w:val="21"/>
        <w:lang w:val="fr-FR"/>
      </w:rPr>
      <w:instrText xml:space="preserve">  \* MERGEFORMAT </w:instrText>
    </w:r>
    <w:r>
      <w:rPr>
        <w:rFonts w:ascii="黑体" w:hAnsi="黑体" w:eastAsia="黑体"/>
        <w:sz w:val="21"/>
        <w:szCs w:val="21"/>
      </w:rPr>
      <w:fldChar w:fldCharType="separate"/>
    </w:r>
    <w:r>
      <w:rPr>
        <w:rFonts w:ascii="黑体" w:hAnsi="黑体" w:eastAsia="黑体"/>
        <w:sz w:val="21"/>
        <w:szCs w:val="21"/>
        <w:lang w:val="fr-FR"/>
      </w:rPr>
      <w:t>DB 4201/T XXX—2024</w:t>
    </w:r>
    <w:r>
      <w:rPr>
        <w:rFonts w:ascii="黑体" w:hAnsi="黑体" w:eastAsia="黑体"/>
        <w:sz w:val="21"/>
        <w:szCs w:val="21"/>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pStyle w:val="230"/>
      <w:lvlText w:val="%2)"/>
      <w:lvlJc w:val="left"/>
      <w:pPr>
        <w:tabs>
          <w:tab w:val="left" w:pos="840"/>
        </w:tabs>
        <w:ind w:left="840" w:hanging="420"/>
      </w:pPr>
    </w:lvl>
    <w:lvl w:ilvl="2" w:tentative="0">
      <w:start w:val="1"/>
      <w:numFmt w:val="lowerRoman"/>
      <w:pStyle w:val="235"/>
      <w:lvlText w:val="%3."/>
      <w:lvlJc w:val="right"/>
      <w:pPr>
        <w:tabs>
          <w:tab w:val="left" w:pos="1260"/>
        </w:tabs>
        <w:ind w:left="1260" w:hanging="420"/>
      </w:pPr>
    </w:lvl>
    <w:lvl w:ilvl="3" w:tentative="0">
      <w:start w:val="1"/>
      <w:numFmt w:val="decimal"/>
      <w:pStyle w:val="234"/>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A8F7113"/>
    <w:multiLevelType w:val="multilevel"/>
    <w:tmpl w:val="2A8F7113"/>
    <w:lvl w:ilvl="0" w:tentative="0">
      <w:start w:val="1"/>
      <w:numFmt w:val="upperLetter"/>
      <w:pStyle w:val="241"/>
      <w:suff w:val="space"/>
      <w:lvlText w:val="%1"/>
      <w:lvlJc w:val="left"/>
      <w:pPr>
        <w:ind w:left="0" w:firstLine="0"/>
      </w:pPr>
      <w:rPr>
        <w:rFonts w:hint="eastAsia"/>
        <w:color w:val="FFFFFF" w:themeColor="background1"/>
        <w:sz w:val="2"/>
        <w14:textFill>
          <w14:solidFill>
            <w14:schemeClr w14:val="bg1"/>
          </w14:solidFill>
        </w14:textFill>
      </w:rPr>
    </w:lvl>
    <w:lvl w:ilvl="1" w:tentative="0">
      <w:start w:val="1"/>
      <w:numFmt w:val="decimal"/>
      <w:suff w:val="nothing"/>
      <w:lvlText w:val="图%1.%2　"/>
      <w:lvlJc w:val="left"/>
      <w:pPr>
        <w:ind w:left="0" w:firstLine="0"/>
      </w:pPr>
      <w:rPr>
        <w:rFonts w:hint="eastAsia" w:eastAsia="黑体"/>
        <w:b w:val="0"/>
        <w:i w:val="0"/>
        <w:sz w:val="21"/>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1">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0B55DC2"/>
    <w:multiLevelType w:val="multilevel"/>
    <w:tmpl w:val="60B55DC2"/>
    <w:lvl w:ilvl="0" w:tentative="0">
      <w:start w:val="1"/>
      <w:numFmt w:val="upperLetter"/>
      <w:pStyle w:val="240"/>
      <w:lvlText w:val="%1"/>
      <w:lvlJc w:val="left"/>
      <w:pPr>
        <w:tabs>
          <w:tab w:val="left" w:pos="0"/>
        </w:tabs>
        <w:ind w:left="0" w:firstLine="0"/>
      </w:pPr>
      <w:rPr>
        <w:rFonts w:hint="eastAsia"/>
        <w:color w:val="FFFFFF" w:themeColor="background1"/>
        <w:sz w:val="2"/>
        <w14:textFill>
          <w14:solidFill>
            <w14:schemeClr w14:val="bg1"/>
          </w14:solidFill>
        </w14:textFill>
      </w:rPr>
    </w:lvl>
    <w:lvl w:ilvl="1" w:tentative="0">
      <w:start w:val="1"/>
      <w:numFmt w:val="decimal"/>
      <w:pStyle w:val="244"/>
      <w:suff w:val="nothing"/>
      <w:lvlText w:val="表%1.%2　"/>
      <w:lvlJc w:val="left"/>
      <w:pPr>
        <w:ind w:left="0" w:firstLine="0"/>
      </w:pPr>
      <w:rPr>
        <w:rFonts w:hint="eastAsia" w:ascii="黑体" w:hAnsi="黑体" w:eastAsia="黑体"/>
        <w:b w:val="0"/>
        <w:i w:val="0"/>
        <w:caps w:val="0"/>
        <w:strike w:val="0"/>
        <w:dstrike w:val="0"/>
        <w:snapToGrid w:val="0"/>
        <w:vanish w:val="0"/>
        <w:kern w:val="0"/>
        <w:sz w:val="21"/>
        <w:vertAlign w:val="baseline"/>
        <w14:cntxtalts w14:val="0"/>
      </w:rPr>
    </w:lvl>
    <w:lvl w:ilvl="2" w:tentative="0">
      <w:start w:val="1"/>
      <w:numFmt w:val="none"/>
      <w:suff w:val="nothing"/>
      <w:lvlText w:val="表%1.%2　"/>
      <w:lvlJc w:val="left"/>
      <w:pPr>
        <w:ind w:left="0" w:firstLine="0"/>
      </w:pPr>
      <w:rPr>
        <w:rFonts w:hint="eastAsia" w:ascii="黑体" w:hAnsi="黑体" w:eastAsia="黑体"/>
        <w:b w:val="0"/>
        <w:i w:val="0"/>
        <w:sz w:val="21"/>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2">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426"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黑体"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568"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9"/>
  </w:num>
  <w:num w:numId="3">
    <w:abstractNumId w:val="5"/>
  </w:num>
  <w:num w:numId="4">
    <w:abstractNumId w:val="25"/>
  </w:num>
  <w:num w:numId="5">
    <w:abstractNumId w:val="19"/>
  </w:num>
  <w:num w:numId="6">
    <w:abstractNumId w:val="14"/>
  </w:num>
  <w:num w:numId="7">
    <w:abstractNumId w:val="8"/>
  </w:num>
  <w:num w:numId="8">
    <w:abstractNumId w:val="3"/>
  </w:num>
  <w:num w:numId="9">
    <w:abstractNumId w:val="9"/>
  </w:num>
  <w:num w:numId="10">
    <w:abstractNumId w:val="17"/>
  </w:num>
  <w:num w:numId="11">
    <w:abstractNumId w:val="27"/>
  </w:num>
  <w:num w:numId="12">
    <w:abstractNumId w:val="12"/>
  </w:num>
  <w:num w:numId="13">
    <w:abstractNumId w:val="13"/>
  </w:num>
  <w:num w:numId="14">
    <w:abstractNumId w:val="7"/>
  </w:num>
  <w:num w:numId="15">
    <w:abstractNumId w:val="20"/>
  </w:num>
  <w:num w:numId="16">
    <w:abstractNumId w:val="23"/>
  </w:num>
  <w:num w:numId="17">
    <w:abstractNumId w:val="18"/>
  </w:num>
  <w:num w:numId="18">
    <w:abstractNumId w:val="31"/>
  </w:num>
  <w:num w:numId="19">
    <w:abstractNumId w:val="16"/>
  </w:num>
  <w:num w:numId="20">
    <w:abstractNumId w:val="1"/>
  </w:num>
  <w:num w:numId="21">
    <w:abstractNumId w:val="11"/>
  </w:num>
  <w:num w:numId="22">
    <w:abstractNumId w:val="32"/>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5"/>
  </w:num>
  <w:num w:numId="30">
    <w:abstractNumId w:val="26"/>
  </w:num>
  <w:num w:numId="31">
    <w:abstractNumId w:val="24"/>
  </w:num>
  <w:num w:numId="32">
    <w:abstractNumId w:val="21"/>
  </w:num>
  <w:num w:numId="33">
    <w:abstractNumId w:val="10"/>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attachedTemplate r:id="rId1"/>
  <w:documentProtection w:edit="forms"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9AE"/>
    <w:rsid w:val="0000040A"/>
    <w:rsid w:val="00000A94"/>
    <w:rsid w:val="00001972"/>
    <w:rsid w:val="00001D9A"/>
    <w:rsid w:val="00007B3A"/>
    <w:rsid w:val="000107E0"/>
    <w:rsid w:val="00011FDE"/>
    <w:rsid w:val="00012FFD"/>
    <w:rsid w:val="00014162"/>
    <w:rsid w:val="00014340"/>
    <w:rsid w:val="00016A9C"/>
    <w:rsid w:val="00022184"/>
    <w:rsid w:val="00022762"/>
    <w:rsid w:val="000229AF"/>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3BD9"/>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437A"/>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0E8D"/>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A84"/>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268A"/>
    <w:rsid w:val="003331E4"/>
    <w:rsid w:val="00335362"/>
    <w:rsid w:val="00336C64"/>
    <w:rsid w:val="00337162"/>
    <w:rsid w:val="0034194F"/>
    <w:rsid w:val="003429CC"/>
    <w:rsid w:val="00344605"/>
    <w:rsid w:val="003474AA"/>
    <w:rsid w:val="003477E0"/>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09BC"/>
    <w:rsid w:val="0041477A"/>
    <w:rsid w:val="004167A3"/>
    <w:rsid w:val="00432DAA"/>
    <w:rsid w:val="00434305"/>
    <w:rsid w:val="00435DF7"/>
    <w:rsid w:val="0044083F"/>
    <w:rsid w:val="00441AE7"/>
    <w:rsid w:val="00445574"/>
    <w:rsid w:val="004467FB"/>
    <w:rsid w:val="004471B5"/>
    <w:rsid w:val="00452D6B"/>
    <w:rsid w:val="00454484"/>
    <w:rsid w:val="0045517B"/>
    <w:rsid w:val="00463B77"/>
    <w:rsid w:val="00463C7B"/>
    <w:rsid w:val="004644A6"/>
    <w:rsid w:val="004659BD"/>
    <w:rsid w:val="00470775"/>
    <w:rsid w:val="004746B1"/>
    <w:rsid w:val="0047583F"/>
    <w:rsid w:val="00475DE8"/>
    <w:rsid w:val="00481C44"/>
    <w:rsid w:val="00484183"/>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5A35"/>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1DEA"/>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51F"/>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57AB4"/>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7AA"/>
    <w:rsid w:val="00695D22"/>
    <w:rsid w:val="006A07AA"/>
    <w:rsid w:val="006A25E5"/>
    <w:rsid w:val="006A2B46"/>
    <w:rsid w:val="006A336D"/>
    <w:rsid w:val="006A37B9"/>
    <w:rsid w:val="006A6719"/>
    <w:rsid w:val="006B2672"/>
    <w:rsid w:val="006B501C"/>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47365"/>
    <w:rsid w:val="007501A8"/>
    <w:rsid w:val="00750D61"/>
    <w:rsid w:val="00750EE1"/>
    <w:rsid w:val="00752B4D"/>
    <w:rsid w:val="00755402"/>
    <w:rsid w:val="00756B26"/>
    <w:rsid w:val="00756EDF"/>
    <w:rsid w:val="007600E3"/>
    <w:rsid w:val="00765C43"/>
    <w:rsid w:val="00765EFB"/>
    <w:rsid w:val="007671CA"/>
    <w:rsid w:val="00767C61"/>
    <w:rsid w:val="0077008A"/>
    <w:rsid w:val="007713CC"/>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614"/>
    <w:rsid w:val="007B5A3D"/>
    <w:rsid w:val="007B5B95"/>
    <w:rsid w:val="007B68EA"/>
    <w:rsid w:val="007B7453"/>
    <w:rsid w:val="007C1E8B"/>
    <w:rsid w:val="007C2D89"/>
    <w:rsid w:val="007C4593"/>
    <w:rsid w:val="007C5309"/>
    <w:rsid w:val="007C5A02"/>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6CB7"/>
    <w:rsid w:val="008F70BD"/>
    <w:rsid w:val="008F788F"/>
    <w:rsid w:val="008F7EA2"/>
    <w:rsid w:val="00902722"/>
    <w:rsid w:val="009027BC"/>
    <w:rsid w:val="009062E6"/>
    <w:rsid w:val="00911BE5"/>
    <w:rsid w:val="00913CA9"/>
    <w:rsid w:val="009145AE"/>
    <w:rsid w:val="009146CE"/>
    <w:rsid w:val="00914CA7"/>
    <w:rsid w:val="00914D80"/>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013"/>
    <w:rsid w:val="009A72AD"/>
    <w:rsid w:val="009B09E0"/>
    <w:rsid w:val="009B0BC5"/>
    <w:rsid w:val="009B1247"/>
    <w:rsid w:val="009B46F9"/>
    <w:rsid w:val="009B6029"/>
    <w:rsid w:val="009B6971"/>
    <w:rsid w:val="009C27F1"/>
    <w:rsid w:val="009C3152"/>
    <w:rsid w:val="009C319A"/>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6FA9"/>
    <w:rsid w:val="00AB7129"/>
    <w:rsid w:val="00AC27A6"/>
    <w:rsid w:val="00AC30F7"/>
    <w:rsid w:val="00AC3A5A"/>
    <w:rsid w:val="00AC4D95"/>
    <w:rsid w:val="00AC5DF4"/>
    <w:rsid w:val="00AD0AEF"/>
    <w:rsid w:val="00AD11B7"/>
    <w:rsid w:val="00AD1A94"/>
    <w:rsid w:val="00AD1C05"/>
    <w:rsid w:val="00AD4126"/>
    <w:rsid w:val="00AD421C"/>
    <w:rsid w:val="00AD44FA"/>
    <w:rsid w:val="00AE0300"/>
    <w:rsid w:val="00AE070A"/>
    <w:rsid w:val="00AE101C"/>
    <w:rsid w:val="00AE37E5"/>
    <w:rsid w:val="00AE3E6B"/>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42A"/>
    <w:rsid w:val="00B72880"/>
    <w:rsid w:val="00B758BF"/>
    <w:rsid w:val="00B7738D"/>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D79AE"/>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26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52168"/>
    <w:rsid w:val="00D66846"/>
    <w:rsid w:val="00D675FB"/>
    <w:rsid w:val="00D71F25"/>
    <w:rsid w:val="00D72A9C"/>
    <w:rsid w:val="00D758F2"/>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079B"/>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E7BC5"/>
    <w:rsid w:val="00DF1961"/>
    <w:rsid w:val="00DF44DE"/>
    <w:rsid w:val="00DF5F11"/>
    <w:rsid w:val="00E01138"/>
    <w:rsid w:val="00E02DFB"/>
    <w:rsid w:val="00E030F9"/>
    <w:rsid w:val="00E0311A"/>
    <w:rsid w:val="00E03138"/>
    <w:rsid w:val="00E06404"/>
    <w:rsid w:val="00E065D2"/>
    <w:rsid w:val="00E11A85"/>
    <w:rsid w:val="00E12495"/>
    <w:rsid w:val="00E1533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445A"/>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0B42"/>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B7E0C"/>
    <w:rsid w:val="00FC17B7"/>
    <w:rsid w:val="00FC2CB7"/>
    <w:rsid w:val="00FC4090"/>
    <w:rsid w:val="00FC55B4"/>
    <w:rsid w:val="00FD00E6"/>
    <w:rsid w:val="00FD09A1"/>
    <w:rsid w:val="00FD2A7C"/>
    <w:rsid w:val="00FD59EB"/>
    <w:rsid w:val="00FD7299"/>
    <w:rsid w:val="00FE078A"/>
    <w:rsid w:val="00FE1FBE"/>
    <w:rsid w:val="00FE3901"/>
    <w:rsid w:val="00FE39D3"/>
    <w:rsid w:val="00FE4BCE"/>
    <w:rsid w:val="00FE54AE"/>
    <w:rsid w:val="00FE576A"/>
    <w:rsid w:val="00FE7E79"/>
    <w:rsid w:val="00FF3E7D"/>
    <w:rsid w:val="00FF5B99"/>
    <w:rsid w:val="00FF730C"/>
    <w:rsid w:val="00FF73F4"/>
    <w:rsid w:val="00FF7CE4"/>
    <w:rsid w:val="00FF7E39"/>
    <w:rsid w:val="02D86266"/>
    <w:rsid w:val="06F162E9"/>
    <w:rsid w:val="085912FD"/>
    <w:rsid w:val="0FB670E6"/>
    <w:rsid w:val="107F4524"/>
    <w:rsid w:val="10995378"/>
    <w:rsid w:val="11821E4D"/>
    <w:rsid w:val="11B10117"/>
    <w:rsid w:val="12F96325"/>
    <w:rsid w:val="17C91B74"/>
    <w:rsid w:val="198009D5"/>
    <w:rsid w:val="1D8F19E7"/>
    <w:rsid w:val="1EAE3F46"/>
    <w:rsid w:val="229013E4"/>
    <w:rsid w:val="248F0A48"/>
    <w:rsid w:val="27153487"/>
    <w:rsid w:val="29BD0996"/>
    <w:rsid w:val="2CCD6B00"/>
    <w:rsid w:val="2F205B3A"/>
    <w:rsid w:val="349327D7"/>
    <w:rsid w:val="36156C9B"/>
    <w:rsid w:val="39410FC1"/>
    <w:rsid w:val="3E8F16B5"/>
    <w:rsid w:val="3EB26483"/>
    <w:rsid w:val="40CC594C"/>
    <w:rsid w:val="4506284E"/>
    <w:rsid w:val="458148D5"/>
    <w:rsid w:val="45A0665C"/>
    <w:rsid w:val="48144EA5"/>
    <w:rsid w:val="4A2C5CD8"/>
    <w:rsid w:val="4A8438A9"/>
    <w:rsid w:val="4CAF3AF2"/>
    <w:rsid w:val="4EA361AE"/>
    <w:rsid w:val="4ED8139C"/>
    <w:rsid w:val="4F0D6AEF"/>
    <w:rsid w:val="50410BE4"/>
    <w:rsid w:val="5098401E"/>
    <w:rsid w:val="51360829"/>
    <w:rsid w:val="5235364F"/>
    <w:rsid w:val="55677D49"/>
    <w:rsid w:val="56CE791E"/>
    <w:rsid w:val="5F623AEA"/>
    <w:rsid w:val="5FE87FC5"/>
    <w:rsid w:val="65DE7982"/>
    <w:rsid w:val="67A743D6"/>
    <w:rsid w:val="68375C6A"/>
    <w:rsid w:val="69DC1998"/>
    <w:rsid w:val="6E16340B"/>
    <w:rsid w:val="6FF66340"/>
    <w:rsid w:val="70353A2A"/>
    <w:rsid w:val="707011C4"/>
    <w:rsid w:val="728B31ED"/>
    <w:rsid w:val="72E57F40"/>
    <w:rsid w:val="76A839E2"/>
    <w:rsid w:val="785D584D"/>
    <w:rsid w:val="78E769D0"/>
    <w:rsid w:val="7C2424D2"/>
    <w:rsid w:val="7D857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basedOn w:val="28"/>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b/>
      <w:bCs/>
      <w:kern w:val="44"/>
      <w:sz w:val="44"/>
      <w:szCs w:val="44"/>
    </w:rPr>
  </w:style>
  <w:style w:type="character" w:customStyle="1" w:styleId="35">
    <w:name w:val="标题 2 Char"/>
    <w:link w:val="3"/>
    <w:qFormat/>
    <w:uiPriority w:val="0"/>
    <w:rPr>
      <w:rFonts w:ascii="Arial" w:hAnsi="Arial" w:eastAsia="黑体"/>
      <w:b/>
      <w:bCs/>
      <w:kern w:val="2"/>
      <w:sz w:val="32"/>
      <w:szCs w:val="32"/>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ind w:left="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ind w:left="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一级条标题"/>
    <w:next w:val="1"/>
    <w:qFormat/>
    <w:uiPriority w:val="0"/>
    <w:pPr>
      <w:numPr>
        <w:ilvl w:val="1"/>
        <w:numId w:val="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1">
    <w:name w:val="段"/>
    <w:link w:val="23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2">
    <w:name w:val="段 Char"/>
    <w:link w:val="231"/>
    <w:qFormat/>
    <w:uiPriority w:val="0"/>
    <w:rPr>
      <w:rFonts w:ascii="宋体" w:hAnsi="Times New Roman"/>
      <w:sz w:val="21"/>
    </w:rPr>
  </w:style>
  <w:style w:type="paragraph" w:styleId="233">
    <w:name w:val="List Paragraph"/>
    <w:basedOn w:val="1"/>
    <w:qFormat/>
    <w:uiPriority w:val="34"/>
    <w:pPr>
      <w:adjustRightInd/>
      <w:spacing w:line="240" w:lineRule="auto"/>
      <w:ind w:firstLine="420" w:firstLineChars="200"/>
    </w:pPr>
    <w:rPr>
      <w:rFonts w:ascii="Times New Roman" w:hAnsi="Times New Roman"/>
      <w:szCs w:val="24"/>
    </w:rPr>
  </w:style>
  <w:style w:type="paragraph" w:customStyle="1" w:styleId="234">
    <w:name w:val="三级条标题"/>
    <w:basedOn w:val="235"/>
    <w:next w:val="231"/>
    <w:qFormat/>
    <w:uiPriority w:val="0"/>
    <w:pPr>
      <w:numPr>
        <w:ilvl w:val="3"/>
      </w:numPr>
      <w:tabs>
        <w:tab w:val="left" w:pos="0"/>
        <w:tab w:val="left" w:pos="840"/>
      </w:tabs>
      <w:outlineLvl w:val="4"/>
    </w:pPr>
  </w:style>
  <w:style w:type="paragraph" w:customStyle="1" w:styleId="235">
    <w:name w:val="二级条标题"/>
    <w:basedOn w:val="230"/>
    <w:next w:val="231"/>
    <w:qFormat/>
    <w:uiPriority w:val="0"/>
    <w:pPr>
      <w:numPr>
        <w:ilvl w:val="2"/>
      </w:numPr>
      <w:tabs>
        <w:tab w:val="left" w:pos="0"/>
      </w:tabs>
      <w:spacing w:before="50" w:after="50"/>
      <w:outlineLvl w:val="3"/>
    </w:pPr>
  </w:style>
  <w:style w:type="paragraph" w:customStyle="1" w:styleId="236">
    <w:name w:val="二级无"/>
    <w:basedOn w:val="235"/>
    <w:qFormat/>
    <w:uiPriority w:val="0"/>
    <w:pPr>
      <w:tabs>
        <w:tab w:val="clear" w:pos="0"/>
      </w:tabs>
      <w:spacing w:before="0" w:beforeLines="0" w:after="0" w:afterLines="0"/>
    </w:pPr>
    <w:rPr>
      <w:rFonts w:ascii="宋体" w:eastAsia="宋体"/>
    </w:rPr>
  </w:style>
  <w:style w:type="paragraph" w:customStyle="1" w:styleId="237">
    <w:name w:val="章标题"/>
    <w:next w:val="231"/>
    <w:qFormat/>
    <w:uiPriority w:val="0"/>
    <w:pPr>
      <w:spacing w:before="312" w:beforeLines="100" w:after="312" w:afterLines="100"/>
      <w:ind w:left="823" w:hanging="420"/>
      <w:jc w:val="both"/>
      <w:outlineLvl w:val="1"/>
    </w:pPr>
    <w:rPr>
      <w:rFonts w:ascii="黑体" w:hAnsi="Times New Roman" w:eastAsia="黑体" w:cs="Times New Roman"/>
      <w:sz w:val="21"/>
      <w:lang w:val="en-US" w:eastAsia="zh-CN" w:bidi="ar-SA"/>
    </w:rPr>
  </w:style>
  <w:style w:type="paragraph" w:customStyle="1" w:styleId="238">
    <w:name w:val="终结线"/>
    <w:basedOn w:val="1"/>
    <w:qFormat/>
    <w:uiPriority w:val="0"/>
    <w:pPr>
      <w:framePr w:hSpace="181" w:vSpace="181" w:wrap="around" w:vAnchor="text" w:hAnchor="margin" w:xAlign="center" w:y="285"/>
      <w:adjustRightInd/>
      <w:spacing w:line="240" w:lineRule="auto"/>
    </w:pPr>
    <w:rPr>
      <w:rFonts w:ascii="Times New Roman" w:hAnsi="Times New Roman"/>
      <w:szCs w:val="24"/>
    </w:rPr>
  </w:style>
  <w:style w:type="paragraph" w:customStyle="1" w:styleId="239">
    <w:name w:val="术语定义一级条标题"/>
    <w:basedOn w:val="230"/>
    <w:next w:val="231"/>
    <w:qFormat/>
    <w:uiPriority w:val="0"/>
    <w:pPr>
      <w:spacing w:before="0" w:beforeLines="0" w:after="0" w:afterLines="0"/>
      <w:outlineLvl w:val="9"/>
    </w:pPr>
  </w:style>
  <w:style w:type="paragraph" w:customStyle="1" w:styleId="240">
    <w:name w:val="附录表标号"/>
    <w:basedOn w:val="1"/>
    <w:next w:val="231"/>
    <w:qFormat/>
    <w:uiPriority w:val="0"/>
    <w:pPr>
      <w:numPr>
        <w:ilvl w:val="0"/>
        <w:numId w:val="32"/>
      </w:numPr>
      <w:snapToGrid w:val="0"/>
      <w:spacing w:line="14" w:lineRule="exact"/>
      <w:jc w:val="center"/>
    </w:pPr>
    <w:rPr>
      <w:color w:val="FFFFFF"/>
    </w:rPr>
  </w:style>
  <w:style w:type="paragraph" w:customStyle="1" w:styleId="241">
    <w:name w:val="附录图标号"/>
    <w:basedOn w:val="1"/>
    <w:next w:val="231"/>
    <w:qFormat/>
    <w:uiPriority w:val="0"/>
    <w:pPr>
      <w:numPr>
        <w:ilvl w:val="0"/>
        <w:numId w:val="33"/>
      </w:numPr>
      <w:snapToGrid w:val="0"/>
      <w:spacing w:line="14" w:lineRule="exact"/>
      <w:jc w:val="center"/>
    </w:pPr>
    <w:rPr>
      <w:color w:val="FFFFFF"/>
    </w:rPr>
  </w:style>
  <w:style w:type="paragraph" w:customStyle="1" w:styleId="242">
    <w:name w:val="附录标识"/>
    <w:basedOn w:val="1"/>
    <w:next w:val="1"/>
    <w:qFormat/>
    <w:uiPriority w:val="0"/>
    <w:pPr>
      <w:keepNext/>
      <w:widowControl/>
      <w:numPr>
        <w:ilvl w:val="0"/>
        <w:numId w:val="4"/>
      </w:numPr>
      <w:shd w:val="clear" w:color="FFFFFF" w:fill="FFFFFF"/>
      <w:tabs>
        <w:tab w:val="left" w:pos="6405"/>
      </w:tabs>
      <w:spacing w:before="640" w:after="280"/>
      <w:jc w:val="center"/>
      <w:outlineLvl w:val="0"/>
    </w:pPr>
    <w:rPr>
      <w:rFonts w:ascii="黑体" w:eastAsia="黑体"/>
      <w:kern w:val="0"/>
      <w:szCs w:val="20"/>
    </w:rPr>
  </w:style>
  <w:style w:type="paragraph" w:customStyle="1" w:styleId="243">
    <w:name w:val="附录章标题"/>
    <w:next w:val="231"/>
    <w:qFormat/>
    <w:uiPriority w:val="0"/>
    <w:pPr>
      <w:numPr>
        <w:ilvl w:val="1"/>
        <w:numId w:val="4"/>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244">
    <w:name w:val="附录表标题"/>
    <w:basedOn w:val="1"/>
    <w:next w:val="231"/>
    <w:qFormat/>
    <w:uiPriority w:val="0"/>
    <w:pPr>
      <w:numPr>
        <w:ilvl w:val="1"/>
        <w:numId w:val="32"/>
      </w:numPr>
      <w:spacing w:before="50" w:beforeLines="50" w:after="50" w:afterLines="50"/>
      <w:jc w:val="center"/>
    </w:pPr>
    <w:rPr>
      <w:rFonts w:ascii="黑体" w:eastAsia="黑体"/>
      <w:szCs w:val="21"/>
    </w:rPr>
  </w:style>
  <w:style w:type="paragraph" w:customStyle="1" w:styleId="24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246">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247">
    <w:name w:val="标准书脚_偶数页"/>
    <w:qFormat/>
    <w:uiPriority w:val="0"/>
    <w:pPr>
      <w:spacing w:before="120"/>
    </w:pPr>
    <w:rPr>
      <w:rFonts w:ascii="Times New Roman"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tiff"/><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E270FE93A2F4319828ECE77788D8805"/>
        <w:style w:val=""/>
        <w:category>
          <w:name w:val="常规"/>
          <w:gallery w:val="placeholder"/>
        </w:category>
        <w:types>
          <w:type w:val="bbPlcHdr"/>
        </w:types>
        <w:behaviors>
          <w:behavior w:val="content"/>
        </w:behaviors>
        <w:description w:val=""/>
        <w:guid w:val="{5A145924-0A01-434C-A447-85B8C9683AF3}"/>
      </w:docPartPr>
      <w:docPartBody>
        <w:p>
          <w:pPr>
            <w:pStyle w:val="5"/>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34E"/>
    <w:rsid w:val="002F60F7"/>
    <w:rsid w:val="006A634E"/>
    <w:rsid w:val="00857F69"/>
    <w:rsid w:val="008A2709"/>
    <w:rsid w:val="009B6802"/>
    <w:rsid w:val="00A35CD2"/>
    <w:rsid w:val="00A86DCD"/>
    <w:rsid w:val="00EC4447"/>
    <w:rsid w:val="00F00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E270FE93A2F4319828ECE77788D880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011E3DC2703F46B2A4DDD73AD2693BC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1EBC5FA6199D48F682F055C655BD57F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3A6DAD-8C36-41E7-B4A6-E2DF08282DC2}">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305</Words>
  <Characters>1744</Characters>
  <Lines>14</Lines>
  <Paragraphs>4</Paragraphs>
  <TotalTime>97</TotalTime>
  <ScaleCrop>false</ScaleCrop>
  <LinksUpToDate>false</LinksUpToDate>
  <CharactersWithSpaces>2045</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2023-02-15T01:44:00Z</dcterms:created>
  <dc:creator>匿名用户</dc:creator>
  <dc:description>&lt;config cover="true" show_menu="true" version="1.0.0" doctype="SDKXY"&gt;_x000d_
&lt;/config&gt;</dc:description>
  <cp:lastModifiedBy>heqian-mpc</cp:lastModifiedBy>
  <cp:lastPrinted>2020-08-30T10:00:00Z</cp:lastPrinted>
  <dcterms:modified xsi:type="dcterms:W3CDTF">2024-03-29T09:06:27Z</dcterms:modified>
  <dc:title>地方标准</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2052-11.8.6.8811</vt:lpwstr>
  </property>
</Properties>
</file>